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84" w:rsidRDefault="00AF2684">
      <w:pPr>
        <w:jc w:val="center"/>
        <w:rPr>
          <w:rFonts w:ascii="方正小标宋简体" w:eastAsia="方正小标宋简体" w:hAnsi="方正小标宋简体" w:hint="eastAsia"/>
          <w:sz w:val="52"/>
          <w:szCs w:val="52"/>
        </w:rPr>
      </w:pPr>
    </w:p>
    <w:p w:rsidR="00AF2684" w:rsidRDefault="00AF2684">
      <w:pPr>
        <w:jc w:val="center"/>
        <w:rPr>
          <w:rFonts w:ascii="方正小标宋简体" w:eastAsia="方正小标宋简体" w:hAnsi="方正小标宋简体"/>
          <w:sz w:val="52"/>
          <w:szCs w:val="52"/>
        </w:rPr>
      </w:pPr>
    </w:p>
    <w:p w:rsidR="00AF2684" w:rsidRDefault="00AF2684">
      <w:pPr>
        <w:jc w:val="center"/>
        <w:rPr>
          <w:rFonts w:ascii="方正小标宋简体" w:eastAsia="方正小标宋简体" w:hAnsi="方正小标宋简体"/>
          <w:sz w:val="52"/>
          <w:szCs w:val="52"/>
        </w:rPr>
      </w:pPr>
    </w:p>
    <w:p w:rsidR="00AF2684" w:rsidRDefault="00AF2684">
      <w:pPr>
        <w:jc w:val="center"/>
        <w:rPr>
          <w:rFonts w:ascii="方正小标宋简体" w:eastAsia="方正小标宋简体" w:hAnsi="方正小标宋简体"/>
          <w:sz w:val="52"/>
          <w:szCs w:val="52"/>
        </w:rPr>
      </w:pPr>
    </w:p>
    <w:p w:rsidR="00AF2684" w:rsidRDefault="00AF2684">
      <w:pPr>
        <w:jc w:val="center"/>
        <w:rPr>
          <w:rFonts w:ascii="方正小标宋简体" w:eastAsia="方正小标宋简体" w:hAnsi="方正小标宋简体"/>
          <w:sz w:val="52"/>
          <w:szCs w:val="52"/>
        </w:rPr>
      </w:pPr>
    </w:p>
    <w:p w:rsidR="00AF2684" w:rsidRDefault="0005217E">
      <w:pPr>
        <w:jc w:val="center"/>
        <w:rPr>
          <w:rFonts w:ascii="黑体" w:eastAsia="黑体" w:hAnsi="黑体"/>
          <w:sz w:val="44"/>
          <w:szCs w:val="44"/>
        </w:rPr>
      </w:pPr>
      <w:r>
        <w:rPr>
          <w:rFonts w:ascii="黑体" w:eastAsia="黑体" w:hAnsi="黑体" w:cs="隶书" w:hint="eastAsia"/>
          <w:sz w:val="52"/>
          <w:szCs w:val="52"/>
        </w:rPr>
        <w:t>信阳市供销合作社</w:t>
      </w:r>
    </w:p>
    <w:p w:rsidR="00AF2684" w:rsidRDefault="0005217E">
      <w:pPr>
        <w:jc w:val="center"/>
        <w:rPr>
          <w:rFonts w:ascii="黑体" w:eastAsia="黑体" w:hAnsi="黑体" w:cs="隶书"/>
          <w:sz w:val="52"/>
          <w:szCs w:val="52"/>
        </w:rPr>
      </w:pPr>
      <w:r>
        <w:rPr>
          <w:rFonts w:ascii="黑体" w:eastAsia="黑体" w:hAnsi="黑体" w:cs="隶书" w:hint="eastAsia"/>
          <w:sz w:val="52"/>
          <w:szCs w:val="52"/>
        </w:rPr>
        <w:t>2019年度部门决算</w:t>
      </w:r>
    </w:p>
    <w:p w:rsidR="00AF2684" w:rsidRDefault="00AF2684">
      <w:pPr>
        <w:jc w:val="center"/>
        <w:rPr>
          <w:rFonts w:ascii="隶书" w:eastAsia="隶书" w:hAnsi="隶书" w:cs="隶书"/>
          <w:sz w:val="52"/>
          <w:szCs w:val="52"/>
        </w:rPr>
      </w:pPr>
    </w:p>
    <w:p w:rsidR="00AF2684" w:rsidRDefault="00AF2684">
      <w:pPr>
        <w:jc w:val="center"/>
        <w:rPr>
          <w:rFonts w:ascii="隶书" w:eastAsia="隶书" w:hAnsi="隶书" w:cs="隶书"/>
          <w:sz w:val="52"/>
          <w:szCs w:val="52"/>
        </w:rPr>
      </w:pPr>
    </w:p>
    <w:p w:rsidR="00AF2684" w:rsidRDefault="00AF2684">
      <w:pPr>
        <w:jc w:val="center"/>
        <w:rPr>
          <w:rFonts w:ascii="隶书" w:eastAsia="隶书" w:hAnsi="隶书" w:cs="隶书"/>
          <w:sz w:val="52"/>
          <w:szCs w:val="52"/>
        </w:rPr>
      </w:pPr>
    </w:p>
    <w:p w:rsidR="00AF2684" w:rsidRDefault="00AF2684">
      <w:pPr>
        <w:jc w:val="center"/>
        <w:rPr>
          <w:rFonts w:ascii="隶书" w:eastAsia="隶书" w:hAnsi="隶书" w:cs="隶书"/>
          <w:sz w:val="52"/>
          <w:szCs w:val="52"/>
        </w:rPr>
      </w:pPr>
    </w:p>
    <w:p w:rsidR="00AF2684" w:rsidRDefault="00AF2684">
      <w:pPr>
        <w:jc w:val="center"/>
        <w:rPr>
          <w:rFonts w:ascii="隶书" w:eastAsia="隶书" w:hAnsi="隶书" w:cs="隶书"/>
          <w:sz w:val="52"/>
          <w:szCs w:val="52"/>
        </w:rPr>
      </w:pPr>
    </w:p>
    <w:p w:rsidR="00AF2684" w:rsidRDefault="0005217E">
      <w:pPr>
        <w:jc w:val="center"/>
        <w:rPr>
          <w:rFonts w:ascii="黑体" w:eastAsia="黑体" w:hAnsi="黑体" w:cs="黑体"/>
          <w:sz w:val="32"/>
          <w:szCs w:val="32"/>
        </w:rPr>
        <w:sectPr w:rsidR="00AF2684">
          <w:pgSz w:w="11906" w:h="16838"/>
          <w:pgMar w:top="1440" w:right="1531" w:bottom="1440" w:left="1587" w:header="850" w:footer="992" w:gutter="0"/>
          <w:pgNumType w:fmt="numberInDash" w:start="1"/>
          <w:cols w:space="720"/>
          <w:docGrid w:type="lines" w:linePitch="317"/>
        </w:sectPr>
      </w:pPr>
      <w:r>
        <w:rPr>
          <w:rFonts w:ascii="黑体" w:eastAsia="黑体" w:hAnsi="黑体" w:cs="黑体" w:hint="eastAsia"/>
          <w:sz w:val="32"/>
          <w:szCs w:val="32"/>
        </w:rPr>
        <w:t>二〇二零年九月</w:t>
      </w:r>
    </w:p>
    <w:p w:rsidR="00AF2684" w:rsidRDefault="0005217E">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AF2684" w:rsidRDefault="0005217E">
      <w:pPr>
        <w:jc w:val="left"/>
        <w:rPr>
          <w:rFonts w:ascii="黑体" w:eastAsia="黑体" w:hAnsi="黑体" w:cs="黑体"/>
          <w:sz w:val="32"/>
          <w:szCs w:val="32"/>
        </w:rPr>
      </w:pPr>
      <w:r>
        <w:rPr>
          <w:rFonts w:ascii="黑体" w:eastAsia="黑体" w:hAnsi="黑体" w:cs="黑体" w:hint="eastAsia"/>
          <w:sz w:val="32"/>
          <w:szCs w:val="32"/>
        </w:rPr>
        <w:t>第一部分　　信阳市供销合作社概况</w:t>
      </w:r>
    </w:p>
    <w:p w:rsidR="00AF2684" w:rsidRDefault="0005217E">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部门职责</w:t>
      </w:r>
    </w:p>
    <w:p w:rsidR="00AF2684" w:rsidRDefault="0005217E">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AF2684" w:rsidRDefault="0005217E">
      <w:pPr>
        <w:jc w:val="left"/>
        <w:rPr>
          <w:rFonts w:ascii="黑体" w:eastAsia="黑体" w:hAnsi="黑体" w:cs="黑体"/>
          <w:sz w:val="32"/>
          <w:szCs w:val="32"/>
        </w:rPr>
      </w:pPr>
      <w:r>
        <w:rPr>
          <w:rFonts w:ascii="黑体" w:eastAsia="黑体" w:hAnsi="黑体" w:cs="黑体" w:hint="eastAsia"/>
          <w:sz w:val="32"/>
          <w:szCs w:val="32"/>
        </w:rPr>
        <w:t>第二部分　　2019年度部门决算情况说明</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t>八、预算绩效情况说明</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t>九、政府性基金预算财政拨款支出决算情况说明</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AF2684" w:rsidRDefault="0005217E">
      <w:pPr>
        <w:jc w:val="left"/>
        <w:rPr>
          <w:rFonts w:ascii="黑体" w:eastAsia="黑体" w:hAnsi="黑体" w:cs="黑体"/>
          <w:sz w:val="32"/>
          <w:szCs w:val="32"/>
        </w:rPr>
      </w:pPr>
      <w:r>
        <w:rPr>
          <w:rFonts w:ascii="黑体" w:eastAsia="黑体" w:hAnsi="黑体" w:cs="黑体" w:hint="eastAsia"/>
          <w:sz w:val="32"/>
          <w:szCs w:val="32"/>
        </w:rPr>
        <w:t>第三部分　　名词解释</w:t>
      </w:r>
    </w:p>
    <w:p w:rsidR="00AF2684" w:rsidRDefault="0005217E">
      <w:pPr>
        <w:jc w:val="left"/>
        <w:rPr>
          <w:rFonts w:ascii="黑体" w:eastAsia="黑体" w:hAnsi="黑体" w:cs="黑体"/>
          <w:sz w:val="32"/>
          <w:szCs w:val="32"/>
        </w:rPr>
      </w:pPr>
      <w:r>
        <w:rPr>
          <w:rFonts w:ascii="黑体" w:eastAsia="黑体" w:hAnsi="黑体" w:cs="黑体" w:hint="eastAsia"/>
          <w:sz w:val="32"/>
          <w:szCs w:val="32"/>
        </w:rPr>
        <w:t>第四部分　　2019年度部门决算表（Excel表格形式）</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t>一、收入支出决算总表</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t>二、收入决算表</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lastRenderedPageBreak/>
        <w:t>三、支出决算表</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t>四、财政拨款收入支出决算总表</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五、一般公共预算财政拨款支出决算表</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六、一般公共预算财政拨款基本支出决算表</w:t>
      </w:r>
    </w:p>
    <w:p w:rsidR="00AF2684" w:rsidRDefault="0005217E">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七、一般公共预算财政拨款“三公”经费支出决算表</w:t>
      </w:r>
    </w:p>
    <w:p w:rsidR="00AF2684" w:rsidRDefault="0005217E">
      <w:pPr>
        <w:ind w:firstLineChars="200" w:firstLine="640"/>
        <w:jc w:val="left"/>
        <w:rPr>
          <w:rFonts w:ascii="黑体" w:eastAsia="黑体" w:hAnsi="黑体" w:cs="黑体"/>
          <w:sz w:val="32"/>
          <w:szCs w:val="32"/>
        </w:rPr>
        <w:sectPr w:rsidR="00AF2684">
          <w:footerReference w:type="default" r:id="rId8"/>
          <w:pgSz w:w="11906" w:h="16838"/>
          <w:pgMar w:top="1440" w:right="1531" w:bottom="1440" w:left="1587" w:header="850" w:footer="992" w:gutter="0"/>
          <w:pgNumType w:fmt="numberInDash"/>
          <w:cols w:space="720"/>
          <w:docGrid w:type="lines" w:linePitch="317"/>
        </w:sectPr>
      </w:pPr>
      <w:r>
        <w:rPr>
          <w:rFonts w:ascii="宋体" w:hAnsi="宋体" w:cs="宋体" w:hint="eastAsia"/>
          <w:sz w:val="32"/>
          <w:szCs w:val="32"/>
        </w:rPr>
        <w:t>八、政府性基金预算财政拨款收入支出决算表</w:t>
      </w:r>
    </w:p>
    <w:p w:rsidR="00AF2684" w:rsidRDefault="00AF2684">
      <w:pPr>
        <w:pStyle w:val="WPSOffice1"/>
        <w:tabs>
          <w:tab w:val="right" w:leader="dot" w:pos="8306"/>
        </w:tabs>
      </w:pPr>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jc w:val="left"/>
        <w:outlineLvl w:val="0"/>
        <w:rPr>
          <w:rFonts w:ascii="黑体" w:eastAsia="黑体" w:hAnsi="宋体" w:cs="黑体"/>
          <w:sz w:val="32"/>
          <w:szCs w:val="32"/>
        </w:rPr>
      </w:pPr>
    </w:p>
    <w:p w:rsidR="00AF2684" w:rsidRDefault="0005217E">
      <w:pPr>
        <w:spacing w:line="60" w:lineRule="auto"/>
        <w:ind w:firstLineChars="200" w:firstLine="960"/>
        <w:jc w:val="left"/>
        <w:outlineLvl w:val="0"/>
        <w:rPr>
          <w:rFonts w:ascii="黑体" w:eastAsia="黑体" w:hAnsi="宋体" w:cs="黑体"/>
          <w:sz w:val="32"/>
          <w:szCs w:val="32"/>
        </w:rPr>
      </w:pPr>
      <w:bookmarkStart w:id="0" w:name="_Toc30341_WPSOffice_Level1"/>
      <w:bookmarkStart w:id="1" w:name="_Toc27009_WPSOffice_Level1"/>
      <w:bookmarkStart w:id="2" w:name="_Toc19729_WPSOffice_Level1"/>
      <w:r>
        <w:rPr>
          <w:rFonts w:ascii="黑体" w:eastAsia="黑体" w:hAnsi="宋体" w:cs="黑体" w:hint="eastAsia"/>
          <w:sz w:val="48"/>
          <w:szCs w:val="48"/>
        </w:rPr>
        <w:t>第一部分  信阳市供销合作社概况</w:t>
      </w:r>
      <w:bookmarkEnd w:id="0"/>
      <w:bookmarkEnd w:id="1"/>
      <w:bookmarkEnd w:id="2"/>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jc w:val="left"/>
        <w:outlineLvl w:val="0"/>
        <w:rPr>
          <w:rFonts w:ascii="黑体" w:eastAsia="黑体" w:hAnsi="宋体" w:cs="黑体"/>
          <w:sz w:val="32"/>
          <w:szCs w:val="32"/>
        </w:rPr>
      </w:pPr>
    </w:p>
    <w:p w:rsidR="00AF2684" w:rsidRDefault="00AF2684">
      <w:pPr>
        <w:spacing w:line="60" w:lineRule="auto"/>
        <w:ind w:firstLineChars="200" w:firstLine="640"/>
        <w:outlineLvl w:val="0"/>
        <w:rPr>
          <w:rFonts w:ascii="黑体" w:eastAsia="黑体" w:hAnsi="宋体" w:cs="黑体"/>
          <w:sz w:val="32"/>
          <w:szCs w:val="32"/>
        </w:rPr>
      </w:pPr>
      <w:bookmarkStart w:id="3" w:name="_Toc535830829"/>
      <w:bookmarkStart w:id="4" w:name="_Toc591"/>
      <w:bookmarkStart w:id="5" w:name="_Toc15525_WPSOffice_Level2"/>
    </w:p>
    <w:bookmarkEnd w:id="3"/>
    <w:bookmarkEnd w:id="4"/>
    <w:p w:rsidR="00AF2684" w:rsidRDefault="0005217E">
      <w:pPr>
        <w:spacing w:line="60" w:lineRule="auto"/>
        <w:ind w:firstLineChars="200" w:firstLine="640"/>
        <w:outlineLvl w:val="0"/>
        <w:rPr>
          <w:rFonts w:ascii="黑体" w:eastAsia="黑体" w:hAnsi="宋体"/>
          <w:sz w:val="32"/>
          <w:szCs w:val="32"/>
        </w:rPr>
      </w:pPr>
      <w:r>
        <w:rPr>
          <w:rFonts w:ascii="黑体" w:eastAsia="黑体" w:hAnsi="宋体" w:cs="黑体" w:hint="eastAsia"/>
          <w:sz w:val="32"/>
          <w:szCs w:val="32"/>
        </w:rPr>
        <w:lastRenderedPageBreak/>
        <w:t>一、部门职责</w:t>
      </w:r>
      <w:bookmarkEnd w:id="5"/>
    </w:p>
    <w:p w:rsidR="00AF2684" w:rsidRDefault="0005217E">
      <w:pPr>
        <w:widowControl/>
        <w:wordWrap w:val="0"/>
        <w:spacing w:line="480" w:lineRule="auto"/>
        <w:ind w:firstLineChars="200" w:firstLine="640"/>
        <w:jc w:val="left"/>
        <w:rPr>
          <w:rFonts w:ascii="仿宋" w:eastAsia="仿宋" w:hAnsi="宋体" w:cs="仿宋"/>
          <w:color w:val="000000"/>
          <w:kern w:val="0"/>
          <w:sz w:val="32"/>
          <w:szCs w:val="32"/>
        </w:rPr>
      </w:pPr>
      <w:bookmarkStart w:id="6" w:name="_Toc535830830"/>
      <w:bookmarkStart w:id="7" w:name="_Toc28165_WPSOffice_Level2"/>
      <w:bookmarkStart w:id="8" w:name="_Toc28739"/>
      <w:r>
        <w:rPr>
          <w:rFonts w:ascii="仿宋" w:eastAsia="仿宋" w:hAnsi="宋体" w:cs="仿宋" w:hint="eastAsia"/>
          <w:color w:val="000000"/>
          <w:kern w:val="0"/>
          <w:sz w:val="32"/>
          <w:szCs w:val="32"/>
        </w:rPr>
        <w:t>宣传贯彻党和国家有关农村经济和供销合作工作的方针、政策；引导实施全市农村商品流通的政策与规定，指导全市供销合作社的改革和发展；</w:t>
      </w:r>
      <w:r>
        <w:rPr>
          <w:rFonts w:ascii="仿宋_GB2312" w:eastAsia="仿宋_GB2312" w:hAnsi="仿宋" w:hint="eastAsia"/>
          <w:sz w:val="32"/>
          <w:szCs w:val="32"/>
        </w:rPr>
        <w:t>按照“市级搭平台、县级建网络、乡镇布网点”的电商网络规划布局，大力实施“供销e家惠农工程”，积极推进“345”融合发展。</w:t>
      </w:r>
      <w:r>
        <w:rPr>
          <w:rFonts w:ascii="仿宋" w:eastAsia="仿宋" w:hAnsi="宋体" w:cs="仿宋" w:hint="eastAsia"/>
          <w:color w:val="000000"/>
          <w:kern w:val="0"/>
          <w:sz w:val="32"/>
          <w:szCs w:val="32"/>
        </w:rPr>
        <w:t>积极参与农业产业化，协同有关部门大力推进专业合作社、农村综合服务社、城市社区生鲜超市和专业批发市场建设，积极引导帮扶经济实力较弱的基层社，进一步推进县区社改造；加快社有企业集团化发展，</w:t>
      </w:r>
      <w:r>
        <w:rPr>
          <w:rFonts w:ascii="仿宋_GB2312" w:eastAsia="仿宋_GB2312" w:hAnsi="仿宋" w:hint="eastAsia"/>
          <w:sz w:val="32"/>
          <w:szCs w:val="32"/>
        </w:rPr>
        <w:t>与省茶叶集团公司、卢氏茶叶公司进行合作，推进信阳茶产业发展；积极参与潢川县粮食储备业务，寻求多元发展；和市建设银行签署战略合作协议，推进金融合作；</w:t>
      </w:r>
      <w:r>
        <w:rPr>
          <w:rFonts w:ascii="仿宋" w:eastAsia="仿宋" w:hAnsi="宋体" w:cs="仿宋" w:hint="eastAsia"/>
          <w:color w:val="000000"/>
          <w:kern w:val="0"/>
          <w:sz w:val="32"/>
          <w:szCs w:val="32"/>
        </w:rPr>
        <w:t>在农资、棉花、粮油、鲜活农产品等重要涉农领域和再生资源等行业，培育一批大型企业集团，积极承担化肥、农药等国家储备任务，鼓励符合条件的社有企业参与大宗产品政策性收储；依法保护社有资产，确保社有资产保值增值，承办市委、市政府交办的其它事项。</w:t>
      </w:r>
    </w:p>
    <w:p w:rsidR="00AF2684" w:rsidRDefault="0005217E">
      <w:pPr>
        <w:spacing w:line="60" w:lineRule="auto"/>
        <w:ind w:firstLineChars="200" w:firstLine="640"/>
        <w:outlineLvl w:val="0"/>
        <w:rPr>
          <w:rFonts w:ascii="黑体" w:eastAsia="黑体" w:hAnsi="宋体"/>
          <w:sz w:val="32"/>
          <w:szCs w:val="32"/>
        </w:rPr>
      </w:pPr>
      <w:r>
        <w:rPr>
          <w:rFonts w:ascii="黑体" w:eastAsia="黑体" w:hAnsi="宋体" w:cs="黑体" w:hint="eastAsia"/>
          <w:sz w:val="32"/>
          <w:szCs w:val="32"/>
        </w:rPr>
        <w:t>（二）机构设置</w:t>
      </w:r>
      <w:bookmarkEnd w:id="6"/>
      <w:bookmarkEnd w:id="7"/>
      <w:bookmarkEnd w:id="8"/>
    </w:p>
    <w:p w:rsidR="004A4D31" w:rsidRDefault="0005217E" w:rsidP="004A4D31">
      <w:pPr>
        <w:widowControl/>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信阳市供销合作社内设机构9个，包括：办公室、合作指导科、财务监审科、资产开发管理科、人事科、老干部管理科、监事会办公室、安全生产科、企业管理指导科。</w:t>
      </w:r>
    </w:p>
    <w:p w:rsidR="00AF2684" w:rsidRDefault="0005217E" w:rsidP="004A4D31">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从决算单位构成看，信阳市供销合作社部门决算包括：本级决算、所属单位决算。</w:t>
      </w:r>
    </w:p>
    <w:p w:rsidR="00AF2684" w:rsidRDefault="0005217E">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纳入本部门2019年度部门决算编制范围的单位共2个，其中二级预算单位1个，具体是：</w:t>
      </w:r>
    </w:p>
    <w:p w:rsidR="00AF2684" w:rsidRDefault="0005217E">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1.信阳市供销合作社本级</w:t>
      </w:r>
    </w:p>
    <w:p w:rsidR="00AF2684" w:rsidRDefault="0005217E">
      <w:pPr>
        <w:widowControl/>
        <w:ind w:firstLineChars="200" w:firstLine="640"/>
        <w:jc w:val="left"/>
        <w:rPr>
          <w:rFonts w:ascii="黑体" w:eastAsia="黑体" w:hAnsi="宋体" w:cs="宋体"/>
          <w:color w:val="000000"/>
          <w:kern w:val="0"/>
          <w:sz w:val="28"/>
          <w:szCs w:val="28"/>
        </w:rPr>
        <w:sectPr w:rsidR="00AF2684">
          <w:footerReference w:type="default" r:id="rId9"/>
          <w:pgSz w:w="11906" w:h="16838"/>
          <w:pgMar w:top="1440" w:right="1800" w:bottom="1440" w:left="1800" w:header="720" w:footer="720" w:gutter="0"/>
          <w:cols w:space="720"/>
          <w:docGrid w:type="lines" w:linePitch="312"/>
        </w:sectPr>
      </w:pPr>
      <w:r>
        <w:rPr>
          <w:rFonts w:ascii="仿宋_GB2312" w:eastAsia="仿宋_GB2312" w:hAnsi="仿宋_GB2312" w:cs="仿宋_GB2312" w:hint="eastAsia"/>
          <w:kern w:val="0"/>
          <w:sz w:val="32"/>
          <w:szCs w:val="32"/>
        </w:rPr>
        <w:t>2.信阳市供销干部学校</w:t>
      </w:r>
    </w:p>
    <w:p w:rsidR="00AF2684" w:rsidRDefault="00AF2684">
      <w:pPr>
        <w:spacing w:line="480" w:lineRule="auto"/>
        <w:rPr>
          <w:rFonts w:ascii="仿宋" w:eastAsia="仿宋" w:hAnsi="宋体"/>
          <w:color w:val="333333"/>
          <w:sz w:val="32"/>
          <w:szCs w:val="32"/>
        </w:rPr>
      </w:pPr>
    </w:p>
    <w:p w:rsidR="00AF2684" w:rsidRDefault="00AF2684">
      <w:pPr>
        <w:spacing w:line="480" w:lineRule="auto"/>
        <w:rPr>
          <w:rFonts w:ascii="仿宋" w:eastAsia="仿宋" w:hAnsi="宋体"/>
          <w:color w:val="333333"/>
          <w:sz w:val="32"/>
          <w:szCs w:val="32"/>
        </w:rPr>
      </w:pPr>
    </w:p>
    <w:p w:rsidR="00AF2684" w:rsidRDefault="00AF2684">
      <w:pPr>
        <w:spacing w:line="480" w:lineRule="auto"/>
        <w:rPr>
          <w:rFonts w:ascii="仿宋" w:eastAsia="仿宋" w:hAnsi="宋体"/>
          <w:color w:val="333333"/>
          <w:sz w:val="32"/>
          <w:szCs w:val="32"/>
        </w:rPr>
      </w:pPr>
    </w:p>
    <w:p w:rsidR="00AF2684" w:rsidRDefault="00AF2684">
      <w:pPr>
        <w:spacing w:line="480" w:lineRule="auto"/>
        <w:rPr>
          <w:rFonts w:ascii="仿宋" w:eastAsia="仿宋" w:hAnsi="宋体"/>
          <w:color w:val="333333"/>
          <w:sz w:val="32"/>
          <w:szCs w:val="32"/>
        </w:rPr>
      </w:pPr>
    </w:p>
    <w:p w:rsidR="00AF2684" w:rsidRDefault="00AF2684">
      <w:pPr>
        <w:spacing w:line="480" w:lineRule="auto"/>
        <w:rPr>
          <w:rFonts w:ascii="仿宋" w:eastAsia="仿宋" w:hAnsi="宋体"/>
          <w:color w:val="333333"/>
          <w:sz w:val="32"/>
          <w:szCs w:val="32"/>
        </w:rPr>
      </w:pPr>
    </w:p>
    <w:p w:rsidR="00AF2684" w:rsidRDefault="00AF2684">
      <w:pPr>
        <w:spacing w:line="480" w:lineRule="auto"/>
        <w:rPr>
          <w:rFonts w:ascii="仿宋" w:eastAsia="仿宋" w:hAnsi="宋体"/>
          <w:color w:val="333333"/>
          <w:sz w:val="32"/>
          <w:szCs w:val="32"/>
        </w:rPr>
      </w:pPr>
    </w:p>
    <w:p w:rsidR="00AF2684" w:rsidRDefault="00AF2684">
      <w:pPr>
        <w:spacing w:line="480" w:lineRule="auto"/>
        <w:rPr>
          <w:rFonts w:ascii="仿宋" w:eastAsia="仿宋" w:hAnsi="宋体"/>
          <w:color w:val="333333"/>
          <w:sz w:val="32"/>
          <w:szCs w:val="32"/>
        </w:rPr>
      </w:pPr>
    </w:p>
    <w:p w:rsidR="00AF2684" w:rsidRDefault="00AF2684">
      <w:pPr>
        <w:spacing w:line="480" w:lineRule="auto"/>
        <w:rPr>
          <w:rFonts w:ascii="仿宋" w:eastAsia="仿宋" w:hAnsi="宋体"/>
          <w:color w:val="333333"/>
          <w:sz w:val="32"/>
          <w:szCs w:val="32"/>
        </w:rPr>
      </w:pPr>
    </w:p>
    <w:p w:rsidR="00AF2684" w:rsidRDefault="00AF2684">
      <w:pPr>
        <w:spacing w:line="480" w:lineRule="auto"/>
        <w:rPr>
          <w:rFonts w:ascii="仿宋" w:eastAsia="仿宋" w:hAnsi="宋体"/>
          <w:color w:val="333333"/>
          <w:sz w:val="32"/>
          <w:szCs w:val="32"/>
        </w:rPr>
      </w:pPr>
    </w:p>
    <w:p w:rsidR="00AF2684" w:rsidRDefault="00AF2684">
      <w:pPr>
        <w:jc w:val="left"/>
        <w:rPr>
          <w:rFonts w:ascii="黑体" w:eastAsia="黑体" w:hAnsi="黑体" w:cs="黑体"/>
          <w:sz w:val="32"/>
          <w:szCs w:val="32"/>
        </w:rPr>
      </w:pPr>
    </w:p>
    <w:p w:rsidR="00AF2684" w:rsidRDefault="0005217E">
      <w:pPr>
        <w:jc w:val="center"/>
        <w:outlineLvl w:val="0"/>
        <w:rPr>
          <w:rFonts w:ascii="黑体" w:eastAsia="黑体" w:hAnsi="黑体" w:cs="黑体"/>
          <w:sz w:val="48"/>
          <w:szCs w:val="48"/>
        </w:rPr>
      </w:pPr>
      <w:r>
        <w:rPr>
          <w:rFonts w:ascii="黑体" w:eastAsia="黑体" w:hAnsi="黑体" w:cs="黑体" w:hint="eastAsia"/>
          <w:sz w:val="48"/>
          <w:szCs w:val="48"/>
        </w:rPr>
        <w:t>第二部分</w:t>
      </w:r>
    </w:p>
    <w:p w:rsidR="00AF2684" w:rsidRDefault="0005217E">
      <w:pPr>
        <w:jc w:val="center"/>
        <w:rPr>
          <w:rFonts w:ascii="黑体" w:eastAsia="黑体" w:hAnsi="黑体" w:cs="黑体"/>
          <w:sz w:val="48"/>
          <w:szCs w:val="48"/>
        </w:rPr>
      </w:pPr>
      <w:bookmarkStart w:id="9" w:name="_Toc32024_WPSOffice_Level1"/>
      <w:bookmarkStart w:id="10" w:name="_Toc1180_WPSOffice_Level1"/>
      <w:bookmarkStart w:id="11" w:name="_Toc15525_WPSOffice_Level1"/>
      <w:r>
        <w:rPr>
          <w:rFonts w:ascii="黑体" w:eastAsia="黑体" w:hAnsi="黑体" w:cs="黑体" w:hint="eastAsia"/>
          <w:sz w:val="48"/>
          <w:szCs w:val="48"/>
        </w:rPr>
        <w:t>信阳市供销合作社</w:t>
      </w:r>
      <w:bookmarkEnd w:id="9"/>
      <w:bookmarkEnd w:id="10"/>
      <w:bookmarkEnd w:id="11"/>
    </w:p>
    <w:p w:rsidR="00AF2684" w:rsidRDefault="0005217E">
      <w:pPr>
        <w:widowControl/>
        <w:jc w:val="center"/>
        <w:rPr>
          <w:rFonts w:ascii="黑体" w:eastAsia="黑体" w:hAnsi="黑体" w:cs="黑体"/>
          <w:sz w:val="48"/>
          <w:szCs w:val="48"/>
        </w:rPr>
        <w:sectPr w:rsidR="00AF2684">
          <w:pgSz w:w="11906" w:h="16838"/>
          <w:pgMar w:top="1440" w:right="1800" w:bottom="1440" w:left="1800" w:header="720" w:footer="720" w:gutter="0"/>
          <w:cols w:space="720"/>
          <w:docGrid w:type="lines" w:linePitch="312"/>
        </w:sectPr>
      </w:pPr>
      <w:bookmarkStart w:id="12" w:name="_Toc29798_WPSOffice_Level1"/>
      <w:bookmarkStart w:id="13" w:name="_Toc28165_WPSOffice_Level1"/>
      <w:bookmarkStart w:id="14" w:name="_Toc13568_WPSOffice_Level1"/>
      <w:r>
        <w:rPr>
          <w:rFonts w:ascii="黑体" w:eastAsia="黑体" w:hAnsi="黑体" w:cs="黑体" w:hint="eastAsia"/>
          <w:sz w:val="48"/>
          <w:szCs w:val="48"/>
        </w:rPr>
        <w:t>2019年度部门决算情况说明</w:t>
      </w:r>
      <w:bookmarkEnd w:id="12"/>
      <w:bookmarkEnd w:id="13"/>
      <w:bookmarkEnd w:id="14"/>
    </w:p>
    <w:p w:rsidR="00AF2684" w:rsidRDefault="0005217E">
      <w:pPr>
        <w:adjustRightInd w:val="0"/>
        <w:snapToGrid w:val="0"/>
        <w:spacing w:line="580" w:lineRule="exact"/>
        <w:ind w:firstLineChars="200" w:firstLine="640"/>
        <w:outlineLvl w:val="1"/>
        <w:rPr>
          <w:rFonts w:ascii="黑体" w:eastAsia="黑体" w:hAnsi="宋体"/>
          <w:sz w:val="32"/>
          <w:szCs w:val="32"/>
        </w:rPr>
      </w:pPr>
      <w:bookmarkStart w:id="15" w:name="_Toc9588_WPSOffice_Level1"/>
      <w:bookmarkStart w:id="16" w:name="_Toc535830832"/>
      <w:bookmarkStart w:id="17" w:name="_Toc18929"/>
      <w:bookmarkStart w:id="18" w:name="_Toc10222_WPSOffice_Level1"/>
      <w:bookmarkStart w:id="19" w:name="_Toc26584_WPSOffice_Level1"/>
      <w:r>
        <w:rPr>
          <w:rFonts w:ascii="黑体" w:eastAsia="黑体" w:hAnsi="宋体" w:cs="黑体" w:hint="eastAsia"/>
          <w:sz w:val="32"/>
          <w:szCs w:val="32"/>
        </w:rPr>
        <w:lastRenderedPageBreak/>
        <w:t>一、收入支出决算总体情况说明</w:t>
      </w:r>
      <w:bookmarkEnd w:id="15"/>
      <w:bookmarkEnd w:id="16"/>
      <w:bookmarkEnd w:id="17"/>
      <w:bookmarkEnd w:id="18"/>
      <w:bookmarkEnd w:id="19"/>
    </w:p>
    <w:p w:rsidR="006D6F38" w:rsidRDefault="0005217E">
      <w:pPr>
        <w:widowControl/>
        <w:wordWrap w:val="0"/>
        <w:spacing w:line="480" w:lineRule="auto"/>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2019年度收</w:t>
      </w:r>
      <w:r w:rsidR="00AB3648">
        <w:rPr>
          <w:rFonts w:ascii="仿宋" w:eastAsia="仿宋" w:hAnsi="仿宋" w:cs="仿宋" w:hint="eastAsia"/>
          <w:color w:val="000000" w:themeColor="text1"/>
          <w:kern w:val="0"/>
          <w:sz w:val="32"/>
          <w:szCs w:val="32"/>
        </w:rPr>
        <w:t>、支</w:t>
      </w:r>
      <w:r>
        <w:rPr>
          <w:rFonts w:ascii="仿宋" w:eastAsia="仿宋" w:hAnsi="仿宋" w:cs="仿宋" w:hint="eastAsia"/>
          <w:color w:val="000000" w:themeColor="text1"/>
          <w:kern w:val="0"/>
          <w:sz w:val="32"/>
          <w:szCs w:val="32"/>
        </w:rPr>
        <w:t>总计2232.93万元，与2018年相比，收</w:t>
      </w:r>
      <w:r w:rsidR="00AB3648">
        <w:rPr>
          <w:rFonts w:ascii="仿宋" w:eastAsia="仿宋" w:hAnsi="仿宋" w:cs="仿宋" w:hint="eastAsia"/>
          <w:color w:val="000000" w:themeColor="text1"/>
          <w:kern w:val="0"/>
          <w:sz w:val="32"/>
          <w:szCs w:val="32"/>
        </w:rPr>
        <w:t>、</w:t>
      </w:r>
      <w:r>
        <w:rPr>
          <w:rFonts w:ascii="仿宋" w:eastAsia="仿宋" w:hAnsi="仿宋" w:cs="仿宋" w:hint="eastAsia"/>
          <w:color w:val="000000" w:themeColor="text1"/>
          <w:kern w:val="0"/>
          <w:sz w:val="32"/>
          <w:szCs w:val="32"/>
        </w:rPr>
        <w:t>支</w:t>
      </w:r>
      <w:r w:rsidR="00AB3648">
        <w:rPr>
          <w:rFonts w:ascii="仿宋" w:eastAsia="仿宋" w:hAnsi="仿宋" w:cs="仿宋" w:hint="eastAsia"/>
          <w:color w:val="000000" w:themeColor="text1"/>
          <w:kern w:val="0"/>
          <w:sz w:val="32"/>
          <w:szCs w:val="32"/>
        </w:rPr>
        <w:t>总计各</w:t>
      </w:r>
      <w:r>
        <w:rPr>
          <w:rFonts w:ascii="仿宋" w:eastAsia="仿宋" w:hAnsi="仿宋" w:cs="仿宋" w:hint="eastAsia"/>
          <w:color w:val="000000" w:themeColor="text1"/>
          <w:kern w:val="0"/>
          <w:sz w:val="32"/>
          <w:szCs w:val="32"/>
        </w:rPr>
        <w:t>减少1206.49万元，下降35%</w:t>
      </w:r>
      <w:bookmarkStart w:id="20" w:name="_Toc16314_WPSOffice_Level1"/>
      <w:bookmarkStart w:id="21" w:name="_Toc8463"/>
      <w:bookmarkStart w:id="22" w:name="_Toc13928_WPSOffice_Level1"/>
      <w:bookmarkStart w:id="23" w:name="_Toc535830833"/>
      <w:bookmarkStart w:id="24" w:name="_Toc4599_WPSOffice_Level1"/>
      <w:r w:rsidR="00E61C3F">
        <w:rPr>
          <w:rFonts w:ascii="仿宋" w:eastAsia="仿宋" w:hAnsi="仿宋" w:cs="仿宋" w:hint="eastAsia"/>
          <w:color w:val="000000" w:themeColor="text1"/>
          <w:kern w:val="0"/>
          <w:sz w:val="32"/>
          <w:szCs w:val="32"/>
        </w:rPr>
        <w:t>。</w:t>
      </w:r>
      <w:r>
        <w:rPr>
          <w:rFonts w:ascii="仿宋" w:eastAsia="仿宋" w:hAnsi="仿宋" w:cs="仿宋" w:hint="eastAsia"/>
          <w:color w:val="000000" w:themeColor="text1"/>
          <w:kern w:val="0"/>
          <w:sz w:val="32"/>
          <w:szCs w:val="32"/>
        </w:rPr>
        <w:t>主要原因是</w:t>
      </w:r>
      <w:r w:rsidR="00E61C3F">
        <w:rPr>
          <w:rFonts w:ascii="仿宋" w:eastAsia="仿宋" w:hAnsi="仿宋" w:cs="仿宋" w:hint="eastAsia"/>
          <w:color w:val="000000" w:themeColor="text1"/>
          <w:kern w:val="0"/>
          <w:sz w:val="32"/>
          <w:szCs w:val="32"/>
        </w:rPr>
        <w:t>2018年度财政拨付</w:t>
      </w:r>
      <w:r w:rsidR="006D6F38">
        <w:rPr>
          <w:rFonts w:ascii="仿宋" w:eastAsia="仿宋" w:hAnsi="仿宋" w:cs="仿宋" w:hint="eastAsia"/>
          <w:color w:val="000000" w:themeColor="text1"/>
          <w:kern w:val="0"/>
          <w:sz w:val="32"/>
          <w:szCs w:val="32"/>
        </w:rPr>
        <w:t>了</w:t>
      </w:r>
      <w:r>
        <w:rPr>
          <w:rFonts w:ascii="仿宋" w:eastAsia="仿宋" w:hAnsi="仿宋" w:cs="仿宋" w:hint="eastAsia"/>
          <w:color w:val="000000" w:themeColor="text1"/>
          <w:kern w:val="0"/>
          <w:sz w:val="32"/>
          <w:szCs w:val="32"/>
        </w:rPr>
        <w:t>我单位再生资源公司的七里墩土地出让金2234.68万元</w:t>
      </w:r>
      <w:r w:rsidR="006D6F38">
        <w:rPr>
          <w:rFonts w:ascii="仿宋" w:eastAsia="仿宋" w:hAnsi="仿宋" w:cs="仿宋" w:hint="eastAsia"/>
          <w:color w:val="000000" w:themeColor="text1"/>
          <w:kern w:val="0"/>
          <w:sz w:val="32"/>
          <w:szCs w:val="32"/>
        </w:rPr>
        <w:t>。</w:t>
      </w:r>
    </w:p>
    <w:p w:rsidR="00AF2684" w:rsidRDefault="0005217E">
      <w:pPr>
        <w:widowControl/>
        <w:wordWrap w:val="0"/>
        <w:spacing w:line="480" w:lineRule="auto"/>
        <w:ind w:firstLineChars="200" w:firstLine="640"/>
        <w:jc w:val="left"/>
        <w:rPr>
          <w:rFonts w:ascii="黑体" w:eastAsia="黑体" w:hAnsi="宋体"/>
          <w:sz w:val="32"/>
          <w:szCs w:val="32"/>
        </w:rPr>
      </w:pPr>
      <w:r>
        <w:rPr>
          <w:rFonts w:ascii="黑体" w:eastAsia="黑体" w:hAnsi="宋体" w:cs="黑体" w:hint="eastAsia"/>
          <w:sz w:val="32"/>
          <w:szCs w:val="32"/>
        </w:rPr>
        <w:t>二、收入决算情况说明</w:t>
      </w:r>
      <w:bookmarkEnd w:id="20"/>
      <w:bookmarkEnd w:id="21"/>
      <w:bookmarkEnd w:id="22"/>
      <w:bookmarkEnd w:id="23"/>
      <w:bookmarkEnd w:id="24"/>
    </w:p>
    <w:p w:rsidR="00AF2684" w:rsidRDefault="0005217E">
      <w:pPr>
        <w:adjustRightInd w:val="0"/>
        <w:snapToGrid w:val="0"/>
        <w:spacing w:line="580" w:lineRule="exact"/>
        <w:ind w:firstLineChars="200" w:firstLine="640"/>
        <w:rPr>
          <w:rFonts w:ascii="仿宋_GB2312" w:eastAsia="仿宋_GB2312" w:cs="仿宋_GB2312"/>
          <w:color w:val="000000" w:themeColor="text1"/>
          <w:sz w:val="32"/>
          <w:szCs w:val="32"/>
        </w:rPr>
      </w:pPr>
      <w:r>
        <w:rPr>
          <w:rFonts w:ascii="仿宋" w:eastAsia="仿宋" w:hAnsi="仿宋" w:cs="仿宋" w:hint="eastAsia"/>
          <w:color w:val="000000" w:themeColor="text1"/>
          <w:kern w:val="0"/>
          <w:sz w:val="32"/>
          <w:szCs w:val="32"/>
        </w:rPr>
        <w:t>2019年度收入合计</w:t>
      </w:r>
      <w:r w:rsidR="00E61C3F">
        <w:rPr>
          <w:rFonts w:ascii="仿宋" w:eastAsia="仿宋" w:hAnsi="仿宋" w:cs="仿宋" w:hint="eastAsia"/>
          <w:color w:val="000000" w:themeColor="text1"/>
          <w:kern w:val="0"/>
          <w:sz w:val="32"/>
          <w:szCs w:val="32"/>
        </w:rPr>
        <w:t>1531.15</w:t>
      </w:r>
      <w:r>
        <w:rPr>
          <w:rFonts w:ascii="仿宋" w:eastAsia="仿宋" w:hAnsi="仿宋" w:cs="仿宋" w:hint="eastAsia"/>
          <w:color w:val="000000" w:themeColor="text1"/>
          <w:kern w:val="0"/>
          <w:sz w:val="32"/>
          <w:szCs w:val="32"/>
        </w:rPr>
        <w:t>万元（含市供销社本级及所属1个二级单位），其中：财政拨款收入</w:t>
      </w:r>
      <w:r w:rsidR="00E61C3F">
        <w:rPr>
          <w:rFonts w:ascii="仿宋" w:eastAsia="仿宋" w:hAnsi="仿宋" w:cs="仿宋" w:hint="eastAsia"/>
          <w:color w:val="000000" w:themeColor="text1"/>
          <w:kern w:val="0"/>
          <w:sz w:val="32"/>
          <w:szCs w:val="32"/>
        </w:rPr>
        <w:t>1531.15</w:t>
      </w:r>
      <w:r>
        <w:rPr>
          <w:rFonts w:ascii="仿宋" w:eastAsia="仿宋" w:hAnsi="仿宋" w:cs="仿宋" w:hint="eastAsia"/>
          <w:color w:val="000000" w:themeColor="text1"/>
          <w:kern w:val="0"/>
          <w:sz w:val="32"/>
          <w:szCs w:val="32"/>
        </w:rPr>
        <w:t>万元，占100%,事业收入0万元，占0%；经营收入0万元，占0%；附属单位上缴收入0万元，占0%；其他收入0万元，占0%。</w:t>
      </w:r>
    </w:p>
    <w:p w:rsidR="00AF2684" w:rsidRDefault="0005217E">
      <w:pPr>
        <w:adjustRightInd w:val="0"/>
        <w:snapToGrid w:val="0"/>
        <w:spacing w:line="580" w:lineRule="exact"/>
        <w:ind w:firstLineChars="200" w:firstLine="640"/>
        <w:outlineLvl w:val="1"/>
        <w:rPr>
          <w:rFonts w:ascii="黑体" w:eastAsia="黑体" w:hAnsi="宋体"/>
          <w:sz w:val="32"/>
          <w:szCs w:val="32"/>
        </w:rPr>
      </w:pPr>
      <w:bookmarkStart w:id="25" w:name="_Toc535830834"/>
      <w:bookmarkStart w:id="26" w:name="_Toc2709_WPSOffice_Level1"/>
      <w:bookmarkStart w:id="27" w:name="_Toc23476"/>
      <w:bookmarkStart w:id="28" w:name="_Toc23157_WPSOffice_Level1"/>
      <w:bookmarkStart w:id="29" w:name="_Toc28574_WPSOffice_Level1"/>
      <w:r>
        <w:rPr>
          <w:rFonts w:ascii="黑体" w:eastAsia="黑体" w:hAnsi="宋体" w:cs="黑体" w:hint="eastAsia"/>
          <w:sz w:val="32"/>
          <w:szCs w:val="32"/>
        </w:rPr>
        <w:t>三、支出决算情况说明</w:t>
      </w:r>
      <w:bookmarkEnd w:id="25"/>
      <w:bookmarkEnd w:id="26"/>
      <w:bookmarkEnd w:id="27"/>
      <w:bookmarkEnd w:id="28"/>
      <w:bookmarkEnd w:id="29"/>
    </w:p>
    <w:p w:rsidR="00AF2684" w:rsidRDefault="0005217E">
      <w:pPr>
        <w:adjustRightInd w:val="0"/>
        <w:snapToGrid w:val="0"/>
        <w:spacing w:line="580" w:lineRule="exact"/>
        <w:ind w:firstLineChars="200" w:firstLine="640"/>
        <w:rPr>
          <w:rFonts w:ascii="仿宋_GB2312" w:eastAsia="仿宋_GB2312" w:hAnsi="宋体" w:cs="仿宋_GB2312"/>
          <w:color w:val="000000" w:themeColor="text1"/>
          <w:sz w:val="32"/>
          <w:szCs w:val="32"/>
        </w:rPr>
      </w:pPr>
      <w:r>
        <w:rPr>
          <w:rFonts w:ascii="仿宋" w:eastAsia="仿宋" w:hAnsi="仿宋" w:cs="仿宋" w:hint="eastAsia"/>
          <w:color w:val="000000" w:themeColor="text1"/>
          <w:kern w:val="0"/>
          <w:sz w:val="32"/>
          <w:szCs w:val="32"/>
        </w:rPr>
        <w:t>2019年度支出合计2232.93万元（含市供销社本级及所属1个二级单位），其中：基本支出2232.93万元，占100%。</w:t>
      </w:r>
      <w:r>
        <w:rPr>
          <w:rFonts w:ascii="仿宋_GB2312" w:eastAsia="仿宋_GB2312" w:hAnsi="宋体" w:cs="仿宋_GB2312" w:hint="eastAsia"/>
          <w:color w:val="000000" w:themeColor="text1"/>
          <w:sz w:val="32"/>
          <w:szCs w:val="32"/>
        </w:rPr>
        <w:t>项目支出0万元，占0%；上缴上级支出0万元，占0%；经营支出0万元，占0%，对附属单位补助支出0万元，占0%。</w:t>
      </w:r>
    </w:p>
    <w:p w:rsidR="00AF2684" w:rsidRDefault="0005217E">
      <w:pPr>
        <w:adjustRightInd w:val="0"/>
        <w:snapToGrid w:val="0"/>
        <w:spacing w:line="580" w:lineRule="exact"/>
        <w:ind w:firstLineChars="200" w:firstLine="640"/>
        <w:outlineLvl w:val="1"/>
        <w:rPr>
          <w:rFonts w:ascii="黑体" w:eastAsia="黑体" w:hAnsi="宋体"/>
          <w:sz w:val="32"/>
          <w:szCs w:val="32"/>
        </w:rPr>
      </w:pPr>
      <w:bookmarkStart w:id="30" w:name="_Toc28342_WPSOffice_Level1"/>
      <w:bookmarkStart w:id="31" w:name="_Toc535830835"/>
      <w:bookmarkStart w:id="32" w:name="_Toc3021_WPSOffice_Level1"/>
      <w:bookmarkStart w:id="33" w:name="_Toc25589"/>
      <w:bookmarkStart w:id="34" w:name="_Toc1727_WPSOffice_Level1"/>
      <w:r>
        <w:rPr>
          <w:rFonts w:ascii="黑体" w:eastAsia="黑体" w:hAnsi="宋体" w:cs="黑体" w:hint="eastAsia"/>
          <w:sz w:val="32"/>
          <w:szCs w:val="32"/>
        </w:rPr>
        <w:t>四、财政拨款收入支出决算总体情况说明</w:t>
      </w:r>
      <w:bookmarkEnd w:id="30"/>
      <w:bookmarkEnd w:id="31"/>
      <w:bookmarkEnd w:id="32"/>
      <w:bookmarkEnd w:id="33"/>
      <w:bookmarkEnd w:id="34"/>
    </w:p>
    <w:p w:rsidR="00090F45" w:rsidRDefault="0005217E" w:rsidP="00090F45">
      <w:pPr>
        <w:widowControl/>
        <w:wordWrap w:val="0"/>
        <w:spacing w:line="480" w:lineRule="auto"/>
        <w:ind w:firstLineChars="200" w:firstLine="640"/>
        <w:jc w:val="left"/>
        <w:rPr>
          <w:rFonts w:ascii="仿宋" w:eastAsia="仿宋" w:hAnsi="仿宋" w:cs="仿宋"/>
          <w:color w:val="333333"/>
          <w:kern w:val="0"/>
          <w:sz w:val="32"/>
          <w:szCs w:val="32"/>
        </w:rPr>
      </w:pPr>
      <w:r>
        <w:rPr>
          <w:rFonts w:ascii="仿宋" w:eastAsia="仿宋" w:hAnsi="仿宋" w:cs="仿宋" w:hint="eastAsia"/>
          <w:color w:val="000000" w:themeColor="text1"/>
          <w:kern w:val="0"/>
          <w:sz w:val="32"/>
          <w:szCs w:val="32"/>
        </w:rPr>
        <w:t>2019</w:t>
      </w:r>
      <w:r w:rsidR="00090F45">
        <w:rPr>
          <w:rFonts w:ascii="仿宋" w:eastAsia="仿宋" w:hAnsi="仿宋" w:cs="仿宋" w:hint="eastAsia"/>
          <w:color w:val="000000" w:themeColor="text1"/>
          <w:kern w:val="0"/>
          <w:sz w:val="32"/>
          <w:szCs w:val="32"/>
        </w:rPr>
        <w:t>年财政拨款收</w:t>
      </w:r>
      <w:r w:rsidR="00E5010D">
        <w:rPr>
          <w:rFonts w:ascii="仿宋" w:eastAsia="仿宋" w:hAnsi="仿宋" w:cs="仿宋" w:hint="eastAsia"/>
          <w:color w:val="000000" w:themeColor="text1"/>
          <w:kern w:val="0"/>
          <w:sz w:val="32"/>
          <w:szCs w:val="32"/>
        </w:rPr>
        <w:t>、支</w:t>
      </w:r>
      <w:r w:rsidR="00090F45">
        <w:rPr>
          <w:rFonts w:ascii="仿宋" w:eastAsia="仿宋" w:hAnsi="仿宋" w:cs="仿宋" w:hint="eastAsia"/>
          <w:color w:val="000000" w:themeColor="text1"/>
          <w:kern w:val="0"/>
          <w:sz w:val="32"/>
          <w:szCs w:val="32"/>
        </w:rPr>
        <w:t>总计</w:t>
      </w:r>
      <w:r w:rsidR="00E5010D">
        <w:rPr>
          <w:rFonts w:ascii="仿宋" w:eastAsia="仿宋" w:hAnsi="仿宋" w:cs="仿宋" w:hint="eastAsia"/>
          <w:color w:val="000000" w:themeColor="text1"/>
          <w:kern w:val="0"/>
          <w:sz w:val="32"/>
          <w:szCs w:val="32"/>
        </w:rPr>
        <w:t>均为</w:t>
      </w:r>
      <w:r w:rsidR="00090F45">
        <w:rPr>
          <w:rFonts w:ascii="仿宋" w:eastAsia="仿宋" w:hAnsi="仿宋" w:cs="仿宋" w:hint="eastAsia"/>
          <w:color w:val="000000" w:themeColor="text1"/>
          <w:kern w:val="0"/>
          <w:sz w:val="32"/>
          <w:szCs w:val="32"/>
        </w:rPr>
        <w:t>2232.93万元，与2018年相比，财政拨款收</w:t>
      </w:r>
      <w:r w:rsidR="00E5010D">
        <w:rPr>
          <w:rFonts w:ascii="仿宋" w:eastAsia="仿宋" w:hAnsi="仿宋" w:cs="仿宋" w:hint="eastAsia"/>
          <w:color w:val="000000" w:themeColor="text1"/>
          <w:kern w:val="0"/>
          <w:sz w:val="32"/>
          <w:szCs w:val="32"/>
        </w:rPr>
        <w:t>、支总计各</w:t>
      </w:r>
      <w:r w:rsidR="00090F45">
        <w:rPr>
          <w:rFonts w:ascii="仿宋" w:eastAsia="仿宋" w:hAnsi="仿宋" w:cs="仿宋" w:hint="eastAsia"/>
          <w:color w:val="000000" w:themeColor="text1"/>
          <w:kern w:val="0"/>
          <w:sz w:val="32"/>
          <w:szCs w:val="32"/>
        </w:rPr>
        <w:t>减少1206.49万元，下降35%。主要原因是2018年度财政拨付我单位再生资源公司的七里墩土地出让金2234.68万元</w:t>
      </w:r>
      <w:r w:rsidR="006D6F38">
        <w:rPr>
          <w:rFonts w:ascii="仿宋" w:eastAsia="仿宋" w:hAnsi="仿宋" w:cs="仿宋" w:hint="eastAsia"/>
          <w:color w:val="000000" w:themeColor="text1"/>
          <w:kern w:val="0"/>
          <w:sz w:val="32"/>
          <w:szCs w:val="32"/>
        </w:rPr>
        <w:t>。</w:t>
      </w:r>
    </w:p>
    <w:p w:rsidR="00AF2684" w:rsidRDefault="0005217E">
      <w:pPr>
        <w:adjustRightInd w:val="0"/>
        <w:snapToGrid w:val="0"/>
        <w:spacing w:line="580" w:lineRule="exact"/>
        <w:ind w:firstLineChars="200" w:firstLine="640"/>
        <w:outlineLvl w:val="1"/>
        <w:rPr>
          <w:rFonts w:ascii="黑体" w:eastAsia="黑体" w:hAnsi="宋体"/>
          <w:sz w:val="32"/>
          <w:szCs w:val="32"/>
        </w:rPr>
      </w:pPr>
      <w:bookmarkStart w:id="35" w:name="_Toc31252"/>
      <w:bookmarkStart w:id="36" w:name="_Toc32532_WPSOffice_Level1"/>
      <w:bookmarkStart w:id="37" w:name="_Toc535830836"/>
      <w:bookmarkStart w:id="38" w:name="_Toc26372_WPSOffice_Level1"/>
      <w:bookmarkStart w:id="39" w:name="_Toc31003_WPSOffice_Level1"/>
      <w:r>
        <w:rPr>
          <w:rFonts w:ascii="黑体" w:eastAsia="黑体" w:hAnsi="宋体" w:cs="黑体" w:hint="eastAsia"/>
          <w:sz w:val="32"/>
          <w:szCs w:val="32"/>
        </w:rPr>
        <w:t>五、一般公共预算财政拨款支出决算情况说明</w:t>
      </w:r>
      <w:bookmarkEnd w:id="35"/>
      <w:bookmarkEnd w:id="36"/>
      <w:bookmarkEnd w:id="37"/>
      <w:bookmarkEnd w:id="38"/>
      <w:bookmarkEnd w:id="39"/>
    </w:p>
    <w:p w:rsidR="00AF2684" w:rsidRDefault="0005217E">
      <w:pPr>
        <w:numPr>
          <w:ilvl w:val="0"/>
          <w:numId w:val="2"/>
        </w:numPr>
        <w:adjustRightInd w:val="0"/>
        <w:snapToGrid w:val="0"/>
        <w:spacing w:line="580" w:lineRule="exact"/>
        <w:ind w:firstLineChars="200" w:firstLine="600"/>
        <w:rPr>
          <w:rFonts w:ascii="黑体" w:eastAsia="黑体" w:hAnsi="宋体"/>
          <w:sz w:val="30"/>
          <w:szCs w:val="30"/>
        </w:rPr>
      </w:pPr>
      <w:bookmarkStart w:id="40" w:name="_Toc26584_WPSOffice_Level2"/>
      <w:r>
        <w:rPr>
          <w:rFonts w:ascii="黑体" w:eastAsia="黑体" w:hAnsi="宋体" w:cs="黑体" w:hint="eastAsia"/>
          <w:sz w:val="30"/>
          <w:szCs w:val="30"/>
        </w:rPr>
        <w:t>总体情况</w:t>
      </w:r>
      <w:bookmarkEnd w:id="40"/>
    </w:p>
    <w:p w:rsidR="00AF2684" w:rsidRDefault="0005217E">
      <w:pPr>
        <w:adjustRightInd w:val="0"/>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2019年一般公共预算财政拨款支出1531.15万元（含市</w:t>
      </w:r>
      <w:r>
        <w:rPr>
          <w:rFonts w:ascii="仿宋" w:eastAsia="仿宋" w:hAnsi="仿宋" w:cs="仿宋" w:hint="eastAsia"/>
          <w:color w:val="000000" w:themeColor="text1"/>
          <w:kern w:val="0"/>
          <w:sz w:val="32"/>
          <w:szCs w:val="32"/>
        </w:rPr>
        <w:lastRenderedPageBreak/>
        <w:t>供销社本级及所属1个二级单位），占支出合计的69%。与2018年相比，一般公共预算财政拨款支出增加3</w:t>
      </w:r>
      <w:r w:rsidR="00FE315C">
        <w:rPr>
          <w:rFonts w:ascii="仿宋" w:eastAsia="仿宋" w:hAnsi="仿宋" w:cs="仿宋" w:hint="eastAsia"/>
          <w:color w:val="000000" w:themeColor="text1"/>
          <w:kern w:val="0"/>
          <w:sz w:val="32"/>
          <w:szCs w:val="32"/>
        </w:rPr>
        <w:t>26</w:t>
      </w:r>
      <w:r>
        <w:rPr>
          <w:rFonts w:ascii="仿宋" w:eastAsia="仿宋" w:hAnsi="仿宋" w:cs="仿宋" w:hint="eastAsia"/>
          <w:color w:val="000000" w:themeColor="text1"/>
          <w:kern w:val="0"/>
          <w:sz w:val="32"/>
          <w:szCs w:val="32"/>
        </w:rPr>
        <w:t>.41万元，同比增长</w:t>
      </w:r>
      <w:r w:rsidR="0099547C">
        <w:rPr>
          <w:rFonts w:ascii="仿宋" w:eastAsia="仿宋" w:hAnsi="仿宋" w:cs="仿宋" w:hint="eastAsia"/>
          <w:color w:val="000000" w:themeColor="text1"/>
          <w:kern w:val="0"/>
          <w:sz w:val="32"/>
          <w:szCs w:val="32"/>
        </w:rPr>
        <w:t>27</w:t>
      </w:r>
      <w:r>
        <w:rPr>
          <w:rFonts w:ascii="仿宋" w:eastAsia="仿宋" w:hAnsi="仿宋" w:cs="仿宋" w:hint="eastAsia"/>
          <w:color w:val="000000" w:themeColor="text1"/>
          <w:kern w:val="0"/>
          <w:sz w:val="32"/>
          <w:szCs w:val="32"/>
        </w:rPr>
        <w:t>%。主要变动原因是省供销社划拨了500万的为农服务中心项目款。</w:t>
      </w:r>
    </w:p>
    <w:p w:rsidR="00AF2684" w:rsidRDefault="0005217E">
      <w:pPr>
        <w:tabs>
          <w:tab w:val="left" w:pos="685"/>
        </w:tabs>
        <w:adjustRightInd w:val="0"/>
        <w:snapToGrid w:val="0"/>
        <w:spacing w:line="580" w:lineRule="exact"/>
        <w:ind w:firstLineChars="200" w:firstLine="600"/>
        <w:rPr>
          <w:rFonts w:ascii="黑体" w:eastAsia="黑体" w:hAnsi="宋体"/>
          <w:sz w:val="30"/>
          <w:szCs w:val="30"/>
        </w:rPr>
      </w:pPr>
      <w:bookmarkStart w:id="41" w:name="_Toc16314_WPSOffice_Level2"/>
      <w:r>
        <w:rPr>
          <w:rFonts w:ascii="黑体" w:eastAsia="黑体" w:hAnsi="宋体" w:cs="黑体" w:hint="eastAsia"/>
          <w:sz w:val="30"/>
          <w:szCs w:val="30"/>
        </w:rPr>
        <w:t>（二）结构</w:t>
      </w:r>
      <w:bookmarkEnd w:id="41"/>
      <w:r>
        <w:rPr>
          <w:rFonts w:ascii="黑体" w:eastAsia="黑体" w:hAnsi="宋体" w:cs="黑体" w:hint="eastAsia"/>
          <w:sz w:val="30"/>
          <w:szCs w:val="30"/>
        </w:rPr>
        <w:t>情况</w:t>
      </w:r>
    </w:p>
    <w:p w:rsidR="00AF2684" w:rsidRDefault="0005217E">
      <w:pPr>
        <w:adjustRightInd w:val="0"/>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2019年度一般公共预算财政拨款支出1531.15万元，主要用于以下方面：一般公共服务（类）支出0万元，占0%，外交（类）支出0万元，占0%，社会保障和就业支出48.86</w:t>
      </w:r>
    </w:p>
    <w:p w:rsidR="00AF2684" w:rsidRDefault="0005217E">
      <w:pPr>
        <w:adjustRightInd w:val="0"/>
        <w:snapToGrid w:val="0"/>
        <w:spacing w:line="580" w:lineRule="exac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万元，占3%；卫生健康支出15.23万元，占1%；商业服务业等支出1444.21元，占94%；住房保障支出22.84万元，占2%。</w:t>
      </w:r>
    </w:p>
    <w:p w:rsidR="00AF2684" w:rsidRDefault="0005217E">
      <w:pPr>
        <w:adjustRightInd w:val="0"/>
        <w:snapToGrid w:val="0"/>
        <w:spacing w:line="580" w:lineRule="exact"/>
        <w:ind w:leftChars="200" w:left="420" w:firstLineChars="100" w:firstLine="300"/>
        <w:rPr>
          <w:rFonts w:ascii="黑体" w:eastAsia="黑体" w:hAnsi="宋体"/>
          <w:sz w:val="30"/>
          <w:szCs w:val="30"/>
        </w:rPr>
      </w:pPr>
      <w:bookmarkStart w:id="42" w:name="_Toc23157_WPSOffice_Level2"/>
      <w:r>
        <w:rPr>
          <w:rFonts w:ascii="黑体" w:eastAsia="黑体" w:hAnsi="宋体" w:cs="黑体" w:hint="eastAsia"/>
          <w:sz w:val="30"/>
          <w:szCs w:val="30"/>
        </w:rPr>
        <w:t>（三）具体</w:t>
      </w:r>
      <w:bookmarkEnd w:id="42"/>
      <w:r>
        <w:rPr>
          <w:rFonts w:ascii="黑体" w:eastAsia="黑体" w:hAnsi="宋体" w:cs="黑体" w:hint="eastAsia"/>
          <w:sz w:val="30"/>
          <w:szCs w:val="30"/>
        </w:rPr>
        <w:t>情况</w:t>
      </w:r>
    </w:p>
    <w:p w:rsidR="00AF2684" w:rsidRDefault="0005217E">
      <w:pPr>
        <w:adjustRightInd w:val="0"/>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2019年度一般公共预算财政拨款支出年初预算为815.42万元，支出决算为1531.15万元，完成年初预算的</w:t>
      </w:r>
      <w:r w:rsidR="0042457D">
        <w:rPr>
          <w:rFonts w:ascii="仿宋" w:eastAsia="仿宋" w:hAnsi="仿宋" w:cs="仿宋" w:hint="eastAsia"/>
          <w:color w:val="000000" w:themeColor="text1"/>
          <w:kern w:val="0"/>
          <w:sz w:val="32"/>
          <w:szCs w:val="32"/>
        </w:rPr>
        <w:t>1</w:t>
      </w:r>
      <w:r>
        <w:rPr>
          <w:rFonts w:ascii="仿宋" w:eastAsia="仿宋" w:hAnsi="仿宋" w:cs="仿宋" w:hint="eastAsia"/>
          <w:color w:val="000000" w:themeColor="text1"/>
          <w:kern w:val="0"/>
          <w:sz w:val="32"/>
          <w:szCs w:val="32"/>
        </w:rPr>
        <w:t>88%。其中：</w:t>
      </w:r>
    </w:p>
    <w:p w:rsidR="00AF2684" w:rsidRDefault="0005217E">
      <w:pPr>
        <w:adjustRightInd w:val="0"/>
        <w:snapToGrid w:val="0"/>
        <w:spacing w:line="580" w:lineRule="exact"/>
        <w:ind w:firstLineChars="200" w:firstLine="643"/>
        <w:rPr>
          <w:rFonts w:ascii="仿宋" w:eastAsia="仿宋" w:hAnsi="仿宋" w:cs="仿宋"/>
          <w:b/>
          <w:bCs/>
          <w:color w:val="000000" w:themeColor="text1"/>
          <w:kern w:val="0"/>
          <w:sz w:val="32"/>
          <w:szCs w:val="32"/>
        </w:rPr>
      </w:pPr>
      <w:r>
        <w:rPr>
          <w:rFonts w:ascii="仿宋" w:eastAsia="仿宋" w:hAnsi="仿宋" w:cs="仿宋" w:hint="eastAsia"/>
          <w:b/>
          <w:bCs/>
          <w:color w:val="000000" w:themeColor="text1"/>
          <w:kern w:val="0"/>
          <w:sz w:val="32"/>
          <w:szCs w:val="32"/>
        </w:rPr>
        <w:t>1、社会保障和就业支出（类）行政事业单位离退休（款）机关单位基本养老保险缴费支出（项）。</w:t>
      </w:r>
      <w:r>
        <w:rPr>
          <w:rFonts w:ascii="仿宋" w:eastAsia="仿宋" w:hAnsi="仿宋" w:cs="仿宋" w:hint="eastAsia"/>
          <w:color w:val="000000" w:themeColor="text1"/>
          <w:kern w:val="0"/>
          <w:sz w:val="32"/>
          <w:szCs w:val="32"/>
        </w:rPr>
        <w:t>年初预算为38.07</w:t>
      </w:r>
    </w:p>
    <w:p w:rsidR="00AF2684" w:rsidRDefault="0005217E">
      <w:pPr>
        <w:adjustRightInd w:val="0"/>
        <w:snapToGrid w:val="0"/>
        <w:spacing w:line="580" w:lineRule="exac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万元，支出决算为32.99万元，完成年初预算的87%。决算数与年初预算数存在差异的主要原因是有两名职工达到法定退休年龄，养老保险终止缴纳。</w:t>
      </w:r>
    </w:p>
    <w:p w:rsidR="00AF2684" w:rsidRDefault="0005217E">
      <w:pPr>
        <w:adjustRightInd w:val="0"/>
        <w:snapToGrid w:val="0"/>
        <w:spacing w:line="580" w:lineRule="exact"/>
        <w:ind w:firstLineChars="200" w:firstLine="643"/>
        <w:rPr>
          <w:rFonts w:ascii="仿宋" w:eastAsia="仿宋" w:hAnsi="仿宋" w:cs="仿宋"/>
          <w:b/>
          <w:bCs/>
          <w:color w:val="000000" w:themeColor="text1"/>
          <w:kern w:val="0"/>
          <w:sz w:val="32"/>
          <w:szCs w:val="32"/>
        </w:rPr>
      </w:pPr>
      <w:r>
        <w:rPr>
          <w:rFonts w:ascii="仿宋" w:eastAsia="仿宋" w:hAnsi="仿宋" w:cs="仿宋" w:hint="eastAsia"/>
          <w:b/>
          <w:bCs/>
          <w:color w:val="000000" w:themeColor="text1"/>
          <w:kern w:val="0"/>
          <w:sz w:val="32"/>
          <w:szCs w:val="32"/>
        </w:rPr>
        <w:t>2、社会保障和就业支出（类）其他社会保障和就业（款）其他社会保障和就业支出（项）。</w:t>
      </w:r>
      <w:r>
        <w:rPr>
          <w:rFonts w:ascii="仿宋" w:eastAsia="仿宋" w:hAnsi="仿宋" w:cs="仿宋" w:hint="eastAsia"/>
          <w:color w:val="000000" w:themeColor="text1"/>
          <w:kern w:val="0"/>
          <w:sz w:val="32"/>
          <w:szCs w:val="32"/>
        </w:rPr>
        <w:t>年初预算为0.95万元，支出决算为0.95万元，完成年初预算的100%。决算数与预算数持平，主要原因是用于为职工缴纳工伤和生育保险。</w:t>
      </w:r>
    </w:p>
    <w:p w:rsidR="00AF2684" w:rsidRDefault="0005217E">
      <w:pPr>
        <w:adjustRightInd w:val="0"/>
        <w:snapToGrid w:val="0"/>
        <w:spacing w:line="580" w:lineRule="exact"/>
        <w:ind w:firstLineChars="200" w:firstLine="643"/>
        <w:rPr>
          <w:rFonts w:ascii="仿宋" w:eastAsia="仿宋" w:hAnsi="仿宋" w:cs="仿宋"/>
          <w:color w:val="000000" w:themeColor="text1"/>
          <w:kern w:val="0"/>
          <w:sz w:val="32"/>
          <w:szCs w:val="32"/>
        </w:rPr>
      </w:pPr>
      <w:r>
        <w:rPr>
          <w:rFonts w:ascii="仿宋" w:eastAsia="仿宋" w:hAnsi="仿宋" w:cs="仿宋" w:hint="eastAsia"/>
          <w:b/>
          <w:bCs/>
          <w:color w:val="000000" w:themeColor="text1"/>
          <w:kern w:val="0"/>
          <w:sz w:val="32"/>
          <w:szCs w:val="32"/>
        </w:rPr>
        <w:lastRenderedPageBreak/>
        <w:t>3、社会保障和就业支出（类）抚恤（款）死亡抚恤（项）。</w:t>
      </w:r>
      <w:r>
        <w:rPr>
          <w:rFonts w:ascii="仿宋" w:eastAsia="仿宋" w:hAnsi="仿宋" w:cs="仿宋" w:hint="eastAsia"/>
          <w:color w:val="000000" w:themeColor="text1"/>
          <w:kern w:val="0"/>
          <w:sz w:val="32"/>
          <w:szCs w:val="32"/>
        </w:rPr>
        <w:t>年初预算为0万元，支出决算为14.92万元，决算数与年初预算数存在差异的主要原因是我单位有一名退休人员因病去世。</w:t>
      </w:r>
    </w:p>
    <w:p w:rsidR="00AF2684" w:rsidRDefault="0005217E">
      <w:pPr>
        <w:adjustRightInd w:val="0"/>
        <w:snapToGrid w:val="0"/>
        <w:spacing w:line="580" w:lineRule="exact"/>
        <w:ind w:firstLineChars="200" w:firstLine="643"/>
        <w:rPr>
          <w:rFonts w:ascii="仿宋" w:eastAsia="仿宋" w:hAnsi="仿宋" w:cs="仿宋"/>
          <w:color w:val="000000" w:themeColor="text1"/>
          <w:kern w:val="0"/>
          <w:sz w:val="32"/>
          <w:szCs w:val="32"/>
        </w:rPr>
      </w:pPr>
      <w:r>
        <w:rPr>
          <w:rFonts w:ascii="仿宋" w:eastAsia="仿宋" w:hAnsi="仿宋" w:cs="仿宋" w:hint="eastAsia"/>
          <w:b/>
          <w:bCs/>
          <w:color w:val="000000" w:themeColor="text1"/>
          <w:kern w:val="0"/>
          <w:sz w:val="32"/>
          <w:szCs w:val="32"/>
        </w:rPr>
        <w:t>4、卫生健康支出（类）行政事业单位医疗（款）行政单位医疗（项）。</w:t>
      </w:r>
      <w:r>
        <w:rPr>
          <w:rFonts w:ascii="仿宋" w:eastAsia="仿宋" w:hAnsi="仿宋" w:cs="仿宋" w:hint="eastAsia"/>
          <w:color w:val="000000" w:themeColor="text1"/>
          <w:kern w:val="0"/>
          <w:sz w:val="32"/>
          <w:szCs w:val="32"/>
        </w:rPr>
        <w:t>年初预算为15.23万元，支出决算为15.23</w:t>
      </w:r>
    </w:p>
    <w:p w:rsidR="00AF2684" w:rsidRDefault="0005217E">
      <w:pPr>
        <w:adjustRightInd w:val="0"/>
        <w:snapToGrid w:val="0"/>
        <w:spacing w:line="580" w:lineRule="exac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万元，完成年初预算的100%。决算数与预算数持平，主要原因是用于为职工缴纳医疗保险。</w:t>
      </w:r>
    </w:p>
    <w:p w:rsidR="00AF2684" w:rsidRDefault="0005217E">
      <w:pPr>
        <w:adjustRightInd w:val="0"/>
        <w:snapToGrid w:val="0"/>
        <w:spacing w:line="580" w:lineRule="exact"/>
        <w:ind w:firstLineChars="200" w:firstLine="643"/>
        <w:rPr>
          <w:rFonts w:ascii="仿宋" w:eastAsia="仿宋" w:hAnsi="仿宋" w:cs="仿宋"/>
          <w:color w:val="000000" w:themeColor="text1"/>
          <w:kern w:val="0"/>
          <w:sz w:val="32"/>
          <w:szCs w:val="32"/>
        </w:rPr>
      </w:pPr>
      <w:r>
        <w:rPr>
          <w:rFonts w:ascii="仿宋" w:eastAsia="仿宋" w:hAnsi="仿宋" w:cs="仿宋" w:hint="eastAsia"/>
          <w:b/>
          <w:bCs/>
          <w:color w:val="000000" w:themeColor="text1"/>
          <w:kern w:val="0"/>
          <w:sz w:val="32"/>
          <w:szCs w:val="32"/>
        </w:rPr>
        <w:t>5、商业服务业等支出（类）商业流通事务（款）行政运行（项）。</w:t>
      </w:r>
      <w:r>
        <w:rPr>
          <w:rFonts w:ascii="仿宋" w:eastAsia="仿宋" w:hAnsi="仿宋" w:cs="仿宋" w:hint="eastAsia"/>
          <w:color w:val="000000" w:themeColor="text1"/>
          <w:kern w:val="0"/>
          <w:sz w:val="32"/>
          <w:szCs w:val="32"/>
        </w:rPr>
        <w:t>年初预算为368.32万元，支出决算为531.81</w:t>
      </w:r>
    </w:p>
    <w:p w:rsidR="00AF2684" w:rsidRDefault="0005217E">
      <w:pPr>
        <w:adjustRightInd w:val="0"/>
        <w:snapToGrid w:val="0"/>
        <w:spacing w:line="580" w:lineRule="exac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万元，完成年初预算的144%。决算数与预算数存在差异的主要原因是年中按照财政要求申报了在职人员的奖金、津补贴、离退休人员的工资及健康休养费等正常经费，并按规定统一发放。</w:t>
      </w:r>
    </w:p>
    <w:p w:rsidR="00AF2684" w:rsidRDefault="0005217E">
      <w:pPr>
        <w:adjustRightInd w:val="0"/>
        <w:snapToGrid w:val="0"/>
        <w:spacing w:line="580" w:lineRule="exact"/>
        <w:ind w:firstLineChars="200" w:firstLine="643"/>
        <w:rPr>
          <w:rFonts w:ascii="仿宋" w:eastAsia="仿宋" w:hAnsi="仿宋" w:cs="仿宋"/>
          <w:color w:val="000000" w:themeColor="text1"/>
          <w:kern w:val="0"/>
          <w:sz w:val="32"/>
          <w:szCs w:val="32"/>
        </w:rPr>
      </w:pPr>
      <w:r>
        <w:rPr>
          <w:rFonts w:ascii="仿宋" w:eastAsia="仿宋" w:hAnsi="仿宋" w:cs="仿宋" w:hint="eastAsia"/>
          <w:b/>
          <w:bCs/>
          <w:color w:val="000000" w:themeColor="text1"/>
          <w:kern w:val="0"/>
          <w:sz w:val="32"/>
          <w:szCs w:val="32"/>
        </w:rPr>
        <w:t>6、商业服务业等支出（类）商业流通事务（款）其它商业流通事务（项）。</w:t>
      </w:r>
      <w:r>
        <w:rPr>
          <w:rFonts w:ascii="仿宋" w:eastAsia="仿宋" w:hAnsi="仿宋" w:cs="仿宋" w:hint="eastAsia"/>
          <w:color w:val="000000" w:themeColor="text1"/>
          <w:kern w:val="0"/>
          <w:sz w:val="32"/>
          <w:szCs w:val="32"/>
        </w:rPr>
        <w:t>年初预算为370万元，支出决算为412.4</w:t>
      </w:r>
    </w:p>
    <w:p w:rsidR="00AF2684" w:rsidRDefault="0005217E">
      <w:pPr>
        <w:adjustRightInd w:val="0"/>
        <w:snapToGrid w:val="0"/>
        <w:spacing w:line="580" w:lineRule="exac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万元，完成年初预算的111%。决算数与预算数持平，主要原因是对本单位附属的困难企业给予了部分支持。</w:t>
      </w:r>
    </w:p>
    <w:p w:rsidR="00AF2684" w:rsidRDefault="0005217E">
      <w:pPr>
        <w:adjustRightInd w:val="0"/>
        <w:snapToGrid w:val="0"/>
        <w:spacing w:line="580" w:lineRule="exact"/>
        <w:ind w:firstLineChars="200" w:firstLine="643"/>
        <w:rPr>
          <w:rFonts w:ascii="仿宋" w:eastAsia="仿宋" w:hAnsi="仿宋" w:cs="仿宋"/>
          <w:color w:val="000000" w:themeColor="text1"/>
          <w:kern w:val="0"/>
          <w:sz w:val="32"/>
          <w:szCs w:val="32"/>
        </w:rPr>
      </w:pPr>
      <w:r>
        <w:rPr>
          <w:rFonts w:ascii="仿宋" w:eastAsia="仿宋" w:hAnsi="仿宋" w:cs="仿宋" w:hint="eastAsia"/>
          <w:b/>
          <w:bCs/>
          <w:color w:val="000000" w:themeColor="text1"/>
          <w:kern w:val="0"/>
          <w:sz w:val="32"/>
          <w:szCs w:val="32"/>
        </w:rPr>
        <w:t>7、商业服务业等支出（类）其他商业服务业等支出（款）其它商业服务业（项）。</w:t>
      </w:r>
      <w:r>
        <w:rPr>
          <w:rFonts w:ascii="仿宋" w:eastAsia="仿宋" w:hAnsi="仿宋" w:cs="仿宋" w:hint="eastAsia"/>
          <w:color w:val="000000" w:themeColor="text1"/>
          <w:kern w:val="0"/>
          <w:sz w:val="32"/>
          <w:szCs w:val="32"/>
        </w:rPr>
        <w:t>年初预算为0万元，支出决算为500</w:t>
      </w:r>
    </w:p>
    <w:p w:rsidR="00AF2684" w:rsidRDefault="0005217E">
      <w:pPr>
        <w:adjustRightInd w:val="0"/>
        <w:snapToGrid w:val="0"/>
        <w:spacing w:line="580" w:lineRule="exac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万元。决算数与预算数存在差异的主要原因是省供销社划拨的为农服务中心项目款到账。</w:t>
      </w:r>
    </w:p>
    <w:p w:rsidR="00AF2684" w:rsidRDefault="0005217E">
      <w:pPr>
        <w:adjustRightInd w:val="0"/>
        <w:snapToGrid w:val="0"/>
        <w:spacing w:line="580" w:lineRule="exact"/>
        <w:ind w:firstLineChars="200" w:firstLine="643"/>
        <w:rPr>
          <w:rFonts w:ascii="仿宋" w:eastAsia="仿宋" w:hAnsi="仿宋" w:cs="仿宋"/>
          <w:b/>
          <w:bCs/>
          <w:color w:val="000000" w:themeColor="text1"/>
          <w:kern w:val="0"/>
          <w:sz w:val="32"/>
          <w:szCs w:val="32"/>
        </w:rPr>
      </w:pPr>
      <w:r>
        <w:rPr>
          <w:rFonts w:ascii="仿宋" w:eastAsia="仿宋" w:hAnsi="仿宋" w:cs="仿宋" w:hint="eastAsia"/>
          <w:b/>
          <w:bCs/>
          <w:color w:val="000000" w:themeColor="text1"/>
          <w:kern w:val="0"/>
          <w:sz w:val="32"/>
          <w:szCs w:val="32"/>
        </w:rPr>
        <w:t>8、住房保障（类）住房改革（款）住房公积金（项）。</w:t>
      </w:r>
      <w:r>
        <w:rPr>
          <w:rFonts w:ascii="仿宋" w:eastAsia="仿宋" w:hAnsi="仿宋" w:cs="仿宋" w:hint="eastAsia"/>
          <w:color w:val="000000" w:themeColor="text1"/>
          <w:kern w:val="0"/>
          <w:sz w:val="32"/>
          <w:szCs w:val="32"/>
        </w:rPr>
        <w:t>年初预算为22.84万元，支出决算为22.84万元，完成年初</w:t>
      </w:r>
      <w:r>
        <w:rPr>
          <w:rFonts w:ascii="仿宋" w:eastAsia="仿宋" w:hAnsi="仿宋" w:cs="仿宋" w:hint="eastAsia"/>
          <w:color w:val="000000" w:themeColor="text1"/>
          <w:kern w:val="0"/>
          <w:sz w:val="32"/>
          <w:szCs w:val="32"/>
        </w:rPr>
        <w:lastRenderedPageBreak/>
        <w:t>预算的100%。决算数与预算数持平，主要原因是缴纳单位在职人员的住房公积金。</w:t>
      </w:r>
    </w:p>
    <w:p w:rsidR="00AF2684" w:rsidRDefault="0005217E">
      <w:pPr>
        <w:adjustRightInd w:val="0"/>
        <w:snapToGrid w:val="0"/>
        <w:spacing w:line="580" w:lineRule="exact"/>
        <w:ind w:firstLineChars="200" w:firstLine="640"/>
        <w:outlineLvl w:val="1"/>
        <w:rPr>
          <w:rFonts w:ascii="黑体" w:eastAsia="黑体" w:hAnsi="宋体"/>
          <w:color w:val="000000" w:themeColor="text1"/>
          <w:sz w:val="32"/>
          <w:szCs w:val="32"/>
        </w:rPr>
      </w:pPr>
      <w:bookmarkStart w:id="43" w:name="_Toc535830837"/>
      <w:bookmarkStart w:id="44" w:name="_Toc25791"/>
      <w:bookmarkStart w:id="45" w:name="_Toc19308_WPSOffice_Level1"/>
      <w:bookmarkStart w:id="46" w:name="_Toc23391_WPSOffice_Level1"/>
      <w:bookmarkStart w:id="47" w:name="_Toc25508_WPSOffice_Level1"/>
      <w:r>
        <w:rPr>
          <w:rFonts w:ascii="黑体" w:eastAsia="黑体" w:hAnsi="宋体" w:cs="黑体" w:hint="eastAsia"/>
          <w:color w:val="000000" w:themeColor="text1"/>
          <w:sz w:val="32"/>
          <w:szCs w:val="32"/>
        </w:rPr>
        <w:t>六、一般公共预算财政拨款基本支出决算情况说明</w:t>
      </w:r>
      <w:bookmarkEnd w:id="43"/>
      <w:bookmarkEnd w:id="44"/>
      <w:bookmarkEnd w:id="45"/>
      <w:bookmarkEnd w:id="46"/>
      <w:bookmarkEnd w:id="47"/>
    </w:p>
    <w:p w:rsidR="00AF2684" w:rsidRDefault="0005217E">
      <w:pPr>
        <w:adjustRightInd w:val="0"/>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2019年度一般公共预算财政拨款基本支出</w:t>
      </w:r>
      <w:r w:rsidR="0008188C">
        <w:rPr>
          <w:rFonts w:ascii="仿宋" w:eastAsia="仿宋" w:hAnsi="仿宋" w:cs="仿宋" w:hint="eastAsia"/>
          <w:color w:val="000000" w:themeColor="text1"/>
          <w:kern w:val="0"/>
          <w:sz w:val="32"/>
          <w:szCs w:val="32"/>
        </w:rPr>
        <w:t>1311.14</w:t>
      </w:r>
      <w:r>
        <w:rPr>
          <w:rFonts w:ascii="仿宋" w:eastAsia="仿宋" w:hAnsi="仿宋" w:cs="仿宋" w:hint="eastAsia"/>
          <w:color w:val="000000" w:themeColor="text1"/>
          <w:kern w:val="0"/>
          <w:sz w:val="32"/>
          <w:szCs w:val="32"/>
        </w:rPr>
        <w:t>万元，其中：（1）人员经费支出共计688.86万元，主要包括：基本工资、津贴补贴、奖金、伙食补助费、其他社会保障缴费、机关事业单位基本养老保险缴费、离休费、退休费、抚恤金、生活补助、住房公积金。（2）公用经费支出共计</w:t>
      </w:r>
      <w:r w:rsidR="00A25B2E">
        <w:rPr>
          <w:rFonts w:ascii="仿宋" w:eastAsia="仿宋" w:hAnsi="仿宋" w:cs="仿宋" w:hint="eastAsia"/>
          <w:color w:val="000000" w:themeColor="text1"/>
          <w:kern w:val="0"/>
          <w:sz w:val="32"/>
          <w:szCs w:val="32"/>
        </w:rPr>
        <w:t>622.28</w:t>
      </w:r>
      <w:r>
        <w:rPr>
          <w:rFonts w:ascii="仿宋" w:eastAsia="仿宋" w:hAnsi="仿宋" w:cs="仿宋" w:hint="eastAsia"/>
          <w:color w:val="000000" w:themeColor="text1"/>
          <w:kern w:val="0"/>
          <w:sz w:val="32"/>
          <w:szCs w:val="32"/>
        </w:rPr>
        <w:t>万元，主要包括：办公费、水电费、邮电费、物业管理费、差旅费、维修（护）费、租赁费、会议费、培训费、公务接待费、工会经费、福利费、公务用车运行维护费、其他交通费用、其他商品和服务支出、以及信息网络及软件购置更新。与2018年相比，一般公共预算财政拨款基本支出增加了</w:t>
      </w:r>
      <w:r w:rsidR="005C3D46">
        <w:rPr>
          <w:rFonts w:ascii="仿宋" w:eastAsia="仿宋" w:hAnsi="仿宋" w:cs="仿宋" w:hint="eastAsia"/>
          <w:color w:val="000000" w:themeColor="text1"/>
          <w:kern w:val="0"/>
          <w:sz w:val="32"/>
          <w:szCs w:val="32"/>
        </w:rPr>
        <w:t>106.4</w:t>
      </w:r>
      <w:r>
        <w:rPr>
          <w:rFonts w:ascii="仿宋" w:eastAsia="仿宋" w:hAnsi="仿宋" w:cs="仿宋" w:hint="eastAsia"/>
          <w:color w:val="000000" w:themeColor="text1"/>
          <w:kern w:val="0"/>
          <w:sz w:val="32"/>
          <w:szCs w:val="32"/>
        </w:rPr>
        <w:t>万元，增长了</w:t>
      </w:r>
      <w:r w:rsidR="005C3D46">
        <w:rPr>
          <w:rFonts w:ascii="仿宋" w:eastAsia="仿宋" w:hAnsi="仿宋" w:cs="仿宋" w:hint="eastAsia"/>
          <w:color w:val="000000" w:themeColor="text1"/>
          <w:kern w:val="0"/>
          <w:sz w:val="32"/>
          <w:szCs w:val="32"/>
        </w:rPr>
        <w:t>9</w:t>
      </w:r>
      <w:r>
        <w:rPr>
          <w:rFonts w:ascii="仿宋" w:eastAsia="仿宋" w:hAnsi="仿宋" w:cs="仿宋" w:hint="eastAsia"/>
          <w:color w:val="000000" w:themeColor="text1"/>
          <w:kern w:val="0"/>
          <w:sz w:val="32"/>
          <w:szCs w:val="32"/>
        </w:rPr>
        <w:t>%。变动的主要原因是省供销社划拨了500万的为农服务中心项目款。</w:t>
      </w:r>
    </w:p>
    <w:p w:rsidR="00AF2684" w:rsidRDefault="0005217E">
      <w:pPr>
        <w:adjustRightInd w:val="0"/>
        <w:snapToGrid w:val="0"/>
        <w:spacing w:line="580" w:lineRule="exact"/>
        <w:ind w:firstLineChars="200" w:firstLine="640"/>
        <w:outlineLvl w:val="1"/>
        <w:rPr>
          <w:rFonts w:ascii="黑体" w:eastAsia="黑体" w:hAnsi="宋体"/>
          <w:sz w:val="32"/>
          <w:szCs w:val="32"/>
        </w:rPr>
      </w:pPr>
      <w:bookmarkStart w:id="48" w:name="_Toc535830838"/>
      <w:bookmarkStart w:id="49" w:name="_Toc27511_WPSOffice_Level1"/>
      <w:bookmarkStart w:id="50" w:name="_Toc12440"/>
      <w:bookmarkStart w:id="51" w:name="_Toc27641_WPSOffice_Level1"/>
      <w:bookmarkStart w:id="52" w:name="_Toc20777_WPSOffice_Level1"/>
      <w:r>
        <w:rPr>
          <w:rFonts w:ascii="黑体" w:eastAsia="黑体" w:hAnsi="宋体" w:cs="黑体" w:hint="eastAsia"/>
          <w:sz w:val="32"/>
          <w:szCs w:val="32"/>
        </w:rPr>
        <w:t>七、一般公共预算财政拨款“三公”经费支出决算情况说明</w:t>
      </w:r>
      <w:bookmarkEnd w:id="48"/>
      <w:bookmarkEnd w:id="49"/>
      <w:bookmarkEnd w:id="50"/>
      <w:bookmarkEnd w:id="51"/>
      <w:bookmarkEnd w:id="52"/>
    </w:p>
    <w:p w:rsidR="00AF2684" w:rsidRDefault="0005217E">
      <w:pPr>
        <w:pStyle w:val="10"/>
        <w:widowControl/>
        <w:numPr>
          <w:ilvl w:val="0"/>
          <w:numId w:val="3"/>
        </w:numPr>
        <w:adjustRightInd w:val="0"/>
        <w:snapToGrid w:val="0"/>
        <w:spacing w:line="580" w:lineRule="exact"/>
        <w:ind w:firstLineChars="0"/>
        <w:rPr>
          <w:rFonts w:ascii="黑体" w:eastAsia="黑体" w:hAnsi="宋体"/>
          <w:sz w:val="30"/>
          <w:szCs w:val="30"/>
        </w:rPr>
      </w:pPr>
      <w:bookmarkStart w:id="53" w:name="_Toc3021_WPSOffice_Level2"/>
      <w:r>
        <w:rPr>
          <w:rFonts w:ascii="黑体" w:eastAsia="黑体" w:hAnsi="宋体" w:cs="黑体" w:hint="eastAsia"/>
          <w:sz w:val="30"/>
          <w:szCs w:val="30"/>
        </w:rPr>
        <w:t>“三公”经费财政拨款支出决算总体情况说明</w:t>
      </w:r>
      <w:bookmarkEnd w:id="53"/>
    </w:p>
    <w:p w:rsidR="00AF2684" w:rsidRDefault="0005217E">
      <w:pPr>
        <w:adjustRightInd w:val="0"/>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2019年度“三公”经费财政拨款支出预算为</w:t>
      </w:r>
      <w:r w:rsidR="005C4423">
        <w:rPr>
          <w:rFonts w:ascii="仿宋" w:eastAsia="仿宋" w:hAnsi="仿宋" w:cs="仿宋" w:hint="eastAsia"/>
          <w:color w:val="000000" w:themeColor="text1"/>
          <w:kern w:val="0"/>
          <w:sz w:val="32"/>
          <w:szCs w:val="32"/>
        </w:rPr>
        <w:t>13</w:t>
      </w:r>
      <w:r>
        <w:rPr>
          <w:rFonts w:ascii="仿宋" w:eastAsia="仿宋" w:hAnsi="仿宋" w:cs="仿宋" w:hint="eastAsia"/>
          <w:color w:val="000000" w:themeColor="text1"/>
          <w:kern w:val="0"/>
          <w:sz w:val="32"/>
          <w:szCs w:val="32"/>
        </w:rPr>
        <w:t>万元，支出决算为7.29万元，完成预算的</w:t>
      </w:r>
      <w:r w:rsidR="008D2273">
        <w:rPr>
          <w:rFonts w:ascii="仿宋" w:eastAsia="仿宋" w:hAnsi="仿宋" w:cs="仿宋" w:hint="eastAsia"/>
          <w:color w:val="000000" w:themeColor="text1"/>
          <w:kern w:val="0"/>
          <w:sz w:val="32"/>
          <w:szCs w:val="32"/>
        </w:rPr>
        <w:t>56</w:t>
      </w:r>
      <w:r>
        <w:rPr>
          <w:rFonts w:ascii="仿宋" w:eastAsia="仿宋" w:hAnsi="仿宋" w:cs="仿宋" w:hint="eastAsia"/>
          <w:color w:val="000000" w:themeColor="text1"/>
          <w:kern w:val="0"/>
          <w:sz w:val="32"/>
          <w:szCs w:val="32"/>
        </w:rPr>
        <w:t>%。2019年度“三公”经费支出决算数小于预算数的主要原因是认真贯彻落实中央关于厉行节约的要求，坚持轻车从简、简化接待工作、规范出省考察和公务出行管理等，从而减少了“三公”经费的开支。</w:t>
      </w:r>
    </w:p>
    <w:p w:rsidR="00AF2684" w:rsidRDefault="0005217E">
      <w:pPr>
        <w:pStyle w:val="10"/>
        <w:widowControl/>
        <w:numPr>
          <w:ilvl w:val="0"/>
          <w:numId w:val="3"/>
        </w:numPr>
        <w:adjustRightInd w:val="0"/>
        <w:snapToGrid w:val="0"/>
        <w:spacing w:line="580" w:lineRule="exact"/>
        <w:ind w:firstLineChars="0"/>
        <w:rPr>
          <w:rFonts w:ascii="黑体" w:eastAsia="黑体" w:hAnsi="宋体"/>
          <w:color w:val="000000" w:themeColor="text1"/>
          <w:sz w:val="30"/>
          <w:szCs w:val="30"/>
        </w:rPr>
      </w:pPr>
      <w:bookmarkStart w:id="54" w:name="_Toc31003_WPSOffice_Level2"/>
      <w:r>
        <w:rPr>
          <w:rFonts w:ascii="黑体" w:eastAsia="黑体" w:hAnsi="宋体" w:cs="黑体" w:hint="eastAsia"/>
          <w:color w:val="000000" w:themeColor="text1"/>
          <w:sz w:val="30"/>
          <w:szCs w:val="30"/>
        </w:rPr>
        <w:lastRenderedPageBreak/>
        <w:t>“三公”经费财政拨款支出决算具体情况说明</w:t>
      </w:r>
      <w:bookmarkEnd w:id="54"/>
    </w:p>
    <w:p w:rsidR="00AF2684" w:rsidRDefault="0005217E">
      <w:pPr>
        <w:adjustRightInd w:val="0"/>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2019年度“三公”经费财政拨款支出决算中，因公出国（境）费支出决算0万元，完成预算的0%，占0%；公务用车购置及运行费支出决算3.25万元，完成预算的60%，占45%；公务接待费支出决算4.04万元，完成预算的51%，占55%。具体情况如下：</w:t>
      </w:r>
    </w:p>
    <w:p w:rsidR="00AF2684" w:rsidRDefault="0005217E">
      <w:pPr>
        <w:adjustRightInd w:val="0"/>
        <w:snapToGrid w:val="0"/>
        <w:spacing w:line="580" w:lineRule="exact"/>
        <w:ind w:firstLineChars="200" w:firstLine="643"/>
        <w:rPr>
          <w:rFonts w:ascii="仿宋" w:eastAsia="仿宋" w:hAnsi="仿宋" w:cs="仿宋"/>
          <w:color w:val="000000" w:themeColor="text1"/>
          <w:kern w:val="0"/>
          <w:sz w:val="32"/>
          <w:szCs w:val="32"/>
        </w:rPr>
      </w:pPr>
      <w:r>
        <w:rPr>
          <w:rFonts w:ascii="仿宋" w:eastAsia="仿宋" w:hAnsi="仿宋" w:cs="仿宋" w:hint="eastAsia"/>
          <w:b/>
          <w:bCs/>
          <w:color w:val="000000" w:themeColor="text1"/>
          <w:kern w:val="0"/>
          <w:sz w:val="32"/>
          <w:szCs w:val="32"/>
        </w:rPr>
        <w:t>1．因公出国（境）费</w:t>
      </w:r>
      <w:r>
        <w:rPr>
          <w:rFonts w:ascii="仿宋" w:eastAsia="仿宋" w:hAnsi="仿宋" w:cs="仿宋" w:hint="eastAsia"/>
          <w:color w:val="000000" w:themeColor="text1"/>
          <w:kern w:val="0"/>
          <w:sz w:val="32"/>
          <w:szCs w:val="32"/>
        </w:rPr>
        <w:t>年初预算为0万元，支出决算为0万元，完成年初预算的0%。</w:t>
      </w:r>
    </w:p>
    <w:p w:rsidR="00AF2684" w:rsidRDefault="0005217E">
      <w:pPr>
        <w:adjustRightInd w:val="0"/>
        <w:snapToGrid w:val="0"/>
        <w:spacing w:line="580" w:lineRule="exact"/>
        <w:ind w:firstLineChars="200" w:firstLine="643"/>
        <w:rPr>
          <w:rFonts w:ascii="仿宋" w:eastAsia="仿宋" w:hAnsi="仿宋" w:cs="仿宋"/>
          <w:color w:val="000000" w:themeColor="text1"/>
          <w:kern w:val="0"/>
          <w:sz w:val="32"/>
          <w:szCs w:val="32"/>
        </w:rPr>
      </w:pPr>
      <w:r>
        <w:rPr>
          <w:rFonts w:ascii="仿宋" w:eastAsia="仿宋" w:hAnsi="仿宋" w:cs="仿宋" w:hint="eastAsia"/>
          <w:b/>
          <w:bCs/>
          <w:color w:val="000000" w:themeColor="text1"/>
          <w:kern w:val="0"/>
          <w:sz w:val="32"/>
          <w:szCs w:val="32"/>
        </w:rPr>
        <w:t>2．公务用车购置及运行费</w:t>
      </w:r>
      <w:r>
        <w:rPr>
          <w:rFonts w:ascii="仿宋" w:eastAsia="仿宋" w:hAnsi="仿宋" w:cs="仿宋" w:hint="eastAsia"/>
          <w:color w:val="000000" w:themeColor="text1"/>
          <w:kern w:val="0"/>
          <w:sz w:val="32"/>
          <w:szCs w:val="32"/>
        </w:rPr>
        <w:t>年初预算为</w:t>
      </w:r>
      <w:r w:rsidR="005C4423">
        <w:rPr>
          <w:rFonts w:ascii="仿宋" w:eastAsia="仿宋" w:hAnsi="仿宋" w:cs="仿宋" w:hint="eastAsia"/>
          <w:color w:val="000000" w:themeColor="text1"/>
          <w:kern w:val="0"/>
          <w:sz w:val="32"/>
          <w:szCs w:val="32"/>
        </w:rPr>
        <w:t>5</w:t>
      </w:r>
      <w:r>
        <w:rPr>
          <w:rFonts w:ascii="仿宋" w:eastAsia="仿宋" w:hAnsi="仿宋" w:cs="仿宋" w:hint="eastAsia"/>
          <w:color w:val="000000" w:themeColor="text1"/>
          <w:kern w:val="0"/>
          <w:sz w:val="32"/>
          <w:szCs w:val="32"/>
        </w:rPr>
        <w:t>万元，支出决算为3.25万元，完成年初预算的</w:t>
      </w:r>
      <w:r w:rsidR="009B3E24">
        <w:rPr>
          <w:rFonts w:ascii="仿宋" w:eastAsia="仿宋" w:hAnsi="仿宋" w:cs="仿宋" w:hint="eastAsia"/>
          <w:color w:val="000000" w:themeColor="text1"/>
          <w:kern w:val="0"/>
          <w:sz w:val="32"/>
          <w:szCs w:val="32"/>
        </w:rPr>
        <w:t>65</w:t>
      </w:r>
      <w:r>
        <w:rPr>
          <w:rFonts w:ascii="仿宋" w:eastAsia="仿宋" w:hAnsi="仿宋" w:cs="仿宋" w:hint="eastAsia"/>
          <w:color w:val="000000" w:themeColor="text1"/>
          <w:kern w:val="0"/>
          <w:sz w:val="32"/>
          <w:szCs w:val="32"/>
        </w:rPr>
        <w:t>%。决算数与年初预算数存在差异的主要原因是按照中央八项规定、厉行节约的相关要求，严格管控出差、接待报销等相关环节的手续审查，保障开支合理使用。其中：</w:t>
      </w:r>
    </w:p>
    <w:p w:rsidR="00AF2684" w:rsidRDefault="0005217E">
      <w:pPr>
        <w:adjustRightInd w:val="0"/>
        <w:snapToGrid w:val="0"/>
        <w:spacing w:line="580" w:lineRule="exact"/>
        <w:ind w:firstLineChars="200" w:firstLine="643"/>
        <w:rPr>
          <w:rFonts w:ascii="仿宋" w:eastAsia="仿宋" w:hAnsi="仿宋" w:cs="仿宋"/>
          <w:color w:val="000000" w:themeColor="text1"/>
          <w:kern w:val="0"/>
          <w:sz w:val="32"/>
          <w:szCs w:val="32"/>
        </w:rPr>
      </w:pPr>
      <w:r>
        <w:rPr>
          <w:rFonts w:ascii="仿宋" w:eastAsia="仿宋" w:hAnsi="仿宋" w:cs="仿宋" w:hint="eastAsia"/>
          <w:b/>
          <w:bCs/>
          <w:color w:val="000000" w:themeColor="text1"/>
          <w:kern w:val="0"/>
          <w:sz w:val="32"/>
          <w:szCs w:val="32"/>
        </w:rPr>
        <w:t>公务用车购置支出</w:t>
      </w:r>
      <w:r>
        <w:rPr>
          <w:rFonts w:ascii="仿宋" w:eastAsia="仿宋" w:hAnsi="仿宋" w:cs="仿宋" w:hint="eastAsia"/>
          <w:color w:val="000000" w:themeColor="text1"/>
          <w:kern w:val="0"/>
          <w:sz w:val="32"/>
          <w:szCs w:val="32"/>
        </w:rPr>
        <w:t>为0万元，购置车辆0辆。</w:t>
      </w:r>
    </w:p>
    <w:p w:rsidR="00AF2684" w:rsidRDefault="0005217E">
      <w:pPr>
        <w:adjustRightInd w:val="0"/>
        <w:snapToGrid w:val="0"/>
        <w:spacing w:line="580" w:lineRule="exact"/>
        <w:ind w:firstLineChars="200" w:firstLine="643"/>
        <w:rPr>
          <w:rFonts w:ascii="仿宋" w:eastAsia="仿宋" w:hAnsi="仿宋" w:cs="仿宋"/>
          <w:color w:val="000000" w:themeColor="text1"/>
          <w:kern w:val="0"/>
          <w:sz w:val="32"/>
          <w:szCs w:val="32"/>
        </w:rPr>
      </w:pPr>
      <w:r>
        <w:rPr>
          <w:rFonts w:ascii="仿宋" w:eastAsia="仿宋" w:hAnsi="仿宋" w:cs="仿宋" w:hint="eastAsia"/>
          <w:b/>
          <w:bCs/>
          <w:color w:val="000000" w:themeColor="text1"/>
          <w:kern w:val="0"/>
          <w:sz w:val="32"/>
          <w:szCs w:val="32"/>
        </w:rPr>
        <w:t>公务用车运行支出</w:t>
      </w:r>
      <w:r>
        <w:rPr>
          <w:rFonts w:ascii="仿宋" w:eastAsia="仿宋" w:hAnsi="仿宋" w:cs="仿宋" w:hint="eastAsia"/>
          <w:color w:val="000000" w:themeColor="text1"/>
          <w:kern w:val="0"/>
          <w:sz w:val="32"/>
          <w:szCs w:val="32"/>
        </w:rPr>
        <w:t>3.25万元。主要用于车辆外出办事的保养、加油、维修等费用。2019年期末，部门开支财政拨款的公务用车保有量为1辆。</w:t>
      </w:r>
    </w:p>
    <w:p w:rsidR="00AF2684" w:rsidRDefault="0005217E">
      <w:pPr>
        <w:adjustRightInd w:val="0"/>
        <w:snapToGrid w:val="0"/>
        <w:spacing w:line="580" w:lineRule="exact"/>
        <w:ind w:firstLineChars="200" w:firstLine="643"/>
        <w:rPr>
          <w:rFonts w:ascii="仿宋" w:eastAsia="仿宋" w:hAnsi="仿宋" w:cs="仿宋"/>
          <w:color w:val="000000" w:themeColor="text1"/>
          <w:kern w:val="0"/>
          <w:sz w:val="32"/>
          <w:szCs w:val="32"/>
        </w:rPr>
      </w:pPr>
      <w:r>
        <w:rPr>
          <w:rFonts w:ascii="仿宋" w:eastAsia="仿宋" w:hAnsi="仿宋" w:cs="仿宋" w:hint="eastAsia"/>
          <w:b/>
          <w:bCs/>
          <w:color w:val="000000" w:themeColor="text1"/>
          <w:kern w:val="0"/>
          <w:sz w:val="32"/>
          <w:szCs w:val="32"/>
        </w:rPr>
        <w:t>3.公务接待费</w:t>
      </w:r>
      <w:r>
        <w:rPr>
          <w:rFonts w:ascii="仿宋" w:eastAsia="仿宋" w:hAnsi="仿宋" w:cs="仿宋" w:hint="eastAsia"/>
          <w:color w:val="000000" w:themeColor="text1"/>
          <w:kern w:val="0"/>
          <w:sz w:val="32"/>
          <w:szCs w:val="32"/>
        </w:rPr>
        <w:t>年初预算为8万元，支出决算为4.04万元，完成年初预算的51%。决算数与年初预算数存在差异的主要原因是严格按照中央八项规定，厉行节约的原则，减少了人员来访用餐、住宿等费用。其中：</w:t>
      </w:r>
    </w:p>
    <w:p w:rsidR="00AF2684" w:rsidRDefault="0005217E">
      <w:pPr>
        <w:adjustRightInd w:val="0"/>
        <w:snapToGrid w:val="0"/>
        <w:spacing w:line="580" w:lineRule="exact"/>
        <w:ind w:firstLineChars="200" w:firstLine="643"/>
        <w:rPr>
          <w:rFonts w:ascii="仿宋" w:eastAsia="仿宋" w:hAnsi="仿宋" w:cs="仿宋"/>
          <w:color w:val="000000" w:themeColor="text1"/>
          <w:kern w:val="0"/>
          <w:sz w:val="32"/>
          <w:szCs w:val="32"/>
        </w:rPr>
      </w:pPr>
      <w:r>
        <w:rPr>
          <w:rFonts w:ascii="仿宋" w:eastAsia="仿宋" w:hAnsi="仿宋" w:cs="仿宋" w:hint="eastAsia"/>
          <w:b/>
          <w:bCs/>
          <w:color w:val="000000" w:themeColor="text1"/>
          <w:kern w:val="0"/>
          <w:sz w:val="32"/>
          <w:szCs w:val="32"/>
        </w:rPr>
        <w:t>外宾接待支出</w:t>
      </w:r>
      <w:r>
        <w:rPr>
          <w:rFonts w:ascii="仿宋" w:eastAsia="仿宋" w:hAnsi="仿宋" w:cs="仿宋" w:hint="eastAsia"/>
          <w:color w:val="000000" w:themeColor="text1"/>
          <w:kern w:val="0"/>
          <w:sz w:val="32"/>
          <w:szCs w:val="32"/>
        </w:rPr>
        <w:t>0万元。2019年共接待国（境）外来访团组0个、来访外宾0人次（不包括陪同人员）。</w:t>
      </w:r>
    </w:p>
    <w:p w:rsidR="00AF2684" w:rsidRDefault="0005217E">
      <w:pPr>
        <w:adjustRightInd w:val="0"/>
        <w:snapToGrid w:val="0"/>
        <w:spacing w:line="580" w:lineRule="exact"/>
        <w:ind w:firstLineChars="200" w:firstLine="643"/>
        <w:rPr>
          <w:rFonts w:ascii="仿宋" w:eastAsia="仿宋" w:hAnsi="仿宋" w:cs="仿宋"/>
          <w:color w:val="000000" w:themeColor="text1"/>
          <w:kern w:val="0"/>
          <w:sz w:val="32"/>
          <w:szCs w:val="32"/>
        </w:rPr>
      </w:pPr>
      <w:r>
        <w:rPr>
          <w:rFonts w:ascii="仿宋" w:eastAsia="仿宋" w:hAnsi="仿宋" w:cs="仿宋" w:hint="eastAsia"/>
          <w:b/>
          <w:bCs/>
          <w:color w:val="000000" w:themeColor="text1"/>
          <w:kern w:val="0"/>
          <w:sz w:val="32"/>
          <w:szCs w:val="32"/>
        </w:rPr>
        <w:t>其他国内公务接待支出</w:t>
      </w:r>
      <w:r>
        <w:rPr>
          <w:rFonts w:ascii="仿宋" w:eastAsia="仿宋" w:hAnsi="仿宋" w:cs="仿宋" w:hint="eastAsia"/>
          <w:color w:val="000000" w:themeColor="text1"/>
          <w:kern w:val="0"/>
          <w:sz w:val="32"/>
          <w:szCs w:val="32"/>
        </w:rPr>
        <w:t>4.04万元。2019年共接待国内</w:t>
      </w:r>
      <w:r>
        <w:rPr>
          <w:rFonts w:ascii="仿宋" w:eastAsia="仿宋" w:hAnsi="仿宋" w:cs="仿宋" w:hint="eastAsia"/>
          <w:color w:val="000000" w:themeColor="text1"/>
          <w:kern w:val="0"/>
          <w:sz w:val="32"/>
          <w:szCs w:val="32"/>
        </w:rPr>
        <w:lastRenderedPageBreak/>
        <w:t>来访团组36个、来宾680人次（不包括陪同人员）。</w:t>
      </w:r>
    </w:p>
    <w:p w:rsidR="00AF2684" w:rsidRDefault="0005217E">
      <w:pPr>
        <w:pStyle w:val="10"/>
        <w:widowControl/>
        <w:adjustRightInd w:val="0"/>
        <w:snapToGrid w:val="0"/>
        <w:spacing w:line="580" w:lineRule="exact"/>
        <w:ind w:firstLineChars="300" w:firstLine="960"/>
        <w:outlineLvl w:val="1"/>
        <w:rPr>
          <w:rFonts w:ascii="黑体" w:eastAsia="黑体" w:hAnsi="宋体" w:cs="黑体"/>
          <w:sz w:val="32"/>
          <w:szCs w:val="32"/>
        </w:rPr>
      </w:pPr>
      <w:bookmarkStart w:id="55" w:name="_Toc535830839"/>
      <w:bookmarkStart w:id="56" w:name="_Toc18609_WPSOffice_Level1"/>
      <w:bookmarkStart w:id="57" w:name="_Toc13876_WPSOffice_Level1"/>
      <w:bookmarkStart w:id="58" w:name="_Toc25197_WPSOffice_Level1"/>
      <w:bookmarkStart w:id="59" w:name="_Toc12467"/>
      <w:r>
        <w:rPr>
          <w:rFonts w:ascii="黑体" w:eastAsia="黑体" w:hAnsi="宋体" w:cs="黑体" w:hint="eastAsia"/>
          <w:sz w:val="32"/>
          <w:szCs w:val="32"/>
        </w:rPr>
        <w:t>八、预算绩效开展情况说明</w:t>
      </w:r>
      <w:bookmarkEnd w:id="55"/>
      <w:bookmarkEnd w:id="56"/>
      <w:bookmarkEnd w:id="57"/>
      <w:bookmarkEnd w:id="58"/>
      <w:bookmarkEnd w:id="59"/>
    </w:p>
    <w:p w:rsidR="00AF2684" w:rsidRDefault="0005217E">
      <w:pPr>
        <w:adjustRightInd w:val="0"/>
        <w:snapToGrid w:val="0"/>
        <w:spacing w:line="580" w:lineRule="exact"/>
        <w:ind w:firstLineChars="200" w:firstLine="640"/>
        <w:rPr>
          <w:rFonts w:ascii="楷体" w:eastAsia="楷体" w:hAnsi="楷体" w:cs="仿宋"/>
          <w:color w:val="000000" w:themeColor="text1"/>
          <w:kern w:val="0"/>
          <w:sz w:val="32"/>
          <w:szCs w:val="32"/>
        </w:rPr>
      </w:pPr>
      <w:bookmarkStart w:id="60" w:name="_Toc23391_WPSOffice_Level2"/>
      <w:r>
        <w:rPr>
          <w:rFonts w:ascii="楷体" w:eastAsia="楷体" w:hAnsi="楷体" w:cs="仿宋" w:hint="eastAsia"/>
          <w:color w:val="000000" w:themeColor="text1"/>
          <w:kern w:val="0"/>
          <w:sz w:val="32"/>
          <w:szCs w:val="32"/>
        </w:rPr>
        <w:t>（一）绩效管理工作开展情况。</w:t>
      </w:r>
      <w:bookmarkEnd w:id="60"/>
    </w:p>
    <w:p w:rsidR="00AF2684" w:rsidRDefault="0005217E">
      <w:pPr>
        <w:adjustRightInd w:val="0"/>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本单位非常重视预算绩效管理工作，致力于以绩效目标实现为导向，建立健全绩效管理工作机制,努力抓好绩效目标规划，督导考核等措施，确保绩效管理工作稳步推进。2019年度本单位预算编制的准确完整性较高、预算执行的有效性较好、预算编制及执行的规范性良好，通过人员经费预决算差异率、公用经费预决算差异率、“三公”经费预决算差异率等主要指标的数据量化得到很好地体现。</w:t>
      </w:r>
    </w:p>
    <w:p w:rsidR="00AF2684" w:rsidRDefault="0005217E">
      <w:pPr>
        <w:adjustRightInd w:val="0"/>
        <w:snapToGrid w:val="0"/>
        <w:spacing w:line="580" w:lineRule="exact"/>
        <w:ind w:firstLineChars="200" w:firstLine="640"/>
        <w:rPr>
          <w:rFonts w:ascii="楷体" w:eastAsia="楷体" w:hAnsi="楷体" w:cs="仿宋"/>
          <w:color w:val="000000" w:themeColor="text1"/>
          <w:kern w:val="0"/>
          <w:sz w:val="32"/>
          <w:szCs w:val="32"/>
        </w:rPr>
      </w:pPr>
      <w:bookmarkStart w:id="61" w:name="_Toc27511_WPSOffice_Level2"/>
      <w:r>
        <w:rPr>
          <w:rFonts w:ascii="楷体" w:eastAsia="楷体" w:hAnsi="楷体" w:cs="仿宋" w:hint="eastAsia"/>
          <w:color w:val="000000" w:themeColor="text1"/>
          <w:kern w:val="0"/>
          <w:sz w:val="32"/>
          <w:szCs w:val="32"/>
        </w:rPr>
        <w:t>（二）项目绩效自评结果。</w:t>
      </w:r>
      <w:bookmarkEnd w:id="61"/>
    </w:p>
    <w:p w:rsidR="00AF2684" w:rsidRDefault="0005217E">
      <w:pPr>
        <w:adjustRightInd w:val="0"/>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从评价结果来看，绩效目标合理，绩效指标体系比较清楚，评价标准较为科学，项目绩效运行跟踪监控机制初步简化，项目管理、财务管理制度较为健全，任务质量完成较高，群众满意度较好。按照设定的评价指标，已完成项目绩效目标，我单位绩效自评结果为良好。</w:t>
      </w:r>
    </w:p>
    <w:p w:rsidR="00AF2684" w:rsidRDefault="0005217E">
      <w:pPr>
        <w:numPr>
          <w:ilvl w:val="0"/>
          <w:numId w:val="3"/>
        </w:numPr>
        <w:adjustRightInd w:val="0"/>
        <w:snapToGrid w:val="0"/>
        <w:spacing w:line="580" w:lineRule="exact"/>
        <w:rPr>
          <w:rFonts w:ascii="楷体" w:eastAsia="楷体" w:hAnsi="楷体" w:cs="仿宋"/>
          <w:color w:val="000000" w:themeColor="text1"/>
          <w:kern w:val="0"/>
          <w:sz w:val="32"/>
          <w:szCs w:val="32"/>
        </w:rPr>
      </w:pPr>
      <w:bookmarkStart w:id="62" w:name="_Toc13876_WPSOffice_Level2"/>
      <w:r>
        <w:rPr>
          <w:rFonts w:ascii="楷体" w:eastAsia="楷体" w:hAnsi="楷体" w:cs="仿宋" w:hint="eastAsia"/>
          <w:color w:val="000000" w:themeColor="text1"/>
          <w:kern w:val="0"/>
          <w:sz w:val="32"/>
          <w:szCs w:val="32"/>
        </w:rPr>
        <w:t>重点绩效评价结果。</w:t>
      </w:r>
      <w:bookmarkEnd w:id="62"/>
    </w:p>
    <w:p w:rsidR="00AF2684" w:rsidRDefault="0005217E">
      <w:pPr>
        <w:adjustRightInd w:val="0"/>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我单位重点项目绩效结果显著，供销集团项目在多年的努力、多方的支持配合、领导的正确决策下，已经正式整合运营，开启供销社发展的新篇章；每年承办的茶叶节活动也都如期顺利开展，很大程度上带动了信阳的茶产业链发展；这一年供销社充分发挥了自身的优势特点，起到积极的模范带头作用，一直致力于领办、创办、联办多个地方专业合作社，供销网点遍布信阳各地市县区乡镇，实现了为农服务的</w:t>
      </w:r>
      <w:r>
        <w:rPr>
          <w:rFonts w:ascii="仿宋" w:eastAsia="仿宋" w:hAnsi="仿宋" w:cs="仿宋" w:hint="eastAsia"/>
          <w:color w:val="000000" w:themeColor="text1"/>
          <w:kern w:val="0"/>
          <w:sz w:val="32"/>
          <w:szCs w:val="32"/>
        </w:rPr>
        <w:lastRenderedPageBreak/>
        <w:t>宗旨，也确保了资金的合理使用。</w:t>
      </w:r>
    </w:p>
    <w:p w:rsidR="00AF2684" w:rsidRDefault="0005217E">
      <w:pPr>
        <w:pStyle w:val="10"/>
        <w:widowControl/>
        <w:adjustRightInd w:val="0"/>
        <w:snapToGrid w:val="0"/>
        <w:spacing w:line="580" w:lineRule="exact"/>
        <w:ind w:firstLine="640"/>
        <w:outlineLvl w:val="1"/>
        <w:rPr>
          <w:rFonts w:ascii="黑体" w:eastAsia="黑体" w:hAnsi="宋体" w:cs="黑体"/>
          <w:sz w:val="32"/>
          <w:szCs w:val="32"/>
        </w:rPr>
      </w:pPr>
      <w:bookmarkStart w:id="63" w:name="_Toc16481_WPSOffice_Level1"/>
      <w:bookmarkStart w:id="64" w:name="_Toc24278_WPSOffice_Level1"/>
      <w:bookmarkStart w:id="65" w:name="_Toc17891_WPSOffice_Level1"/>
      <w:bookmarkStart w:id="66" w:name="_Toc12251"/>
      <w:bookmarkStart w:id="67" w:name="_Toc535830840"/>
      <w:r>
        <w:rPr>
          <w:rFonts w:ascii="黑体" w:eastAsia="黑体" w:hAnsi="宋体" w:cs="黑体" w:hint="eastAsia"/>
          <w:sz w:val="32"/>
          <w:szCs w:val="32"/>
        </w:rPr>
        <w:t>九、政府性基金预算财政拨款支出决算情况说明</w:t>
      </w:r>
      <w:bookmarkEnd w:id="63"/>
      <w:bookmarkEnd w:id="64"/>
      <w:bookmarkEnd w:id="65"/>
      <w:bookmarkEnd w:id="66"/>
      <w:bookmarkEnd w:id="67"/>
    </w:p>
    <w:p w:rsidR="00AF2684" w:rsidRDefault="0005217E">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2019年度政府性基金预算财政拨款支出年初预算为0万元，支出决算为701.78万元，主要用于支付困难企业拖欠的养老保险费用。</w:t>
      </w:r>
    </w:p>
    <w:p w:rsidR="00AF2684" w:rsidRDefault="0005217E">
      <w:pPr>
        <w:adjustRightInd w:val="0"/>
        <w:snapToGrid w:val="0"/>
        <w:spacing w:line="580" w:lineRule="exact"/>
        <w:ind w:firstLineChars="200" w:firstLine="640"/>
        <w:rPr>
          <w:rFonts w:ascii="黑体" w:eastAsia="黑体" w:hAnsi="宋体"/>
          <w:sz w:val="30"/>
          <w:szCs w:val="30"/>
        </w:rPr>
      </w:pPr>
      <w:bookmarkStart w:id="68" w:name="_Toc29866"/>
      <w:bookmarkStart w:id="69" w:name="_Toc535830841"/>
      <w:bookmarkStart w:id="70" w:name="_Toc5369_WPSOffice_Level1"/>
      <w:bookmarkStart w:id="71" w:name="_Toc25685_WPSOffice_Level1"/>
      <w:bookmarkStart w:id="72" w:name="_Toc24558_WPSOffice_Level1"/>
      <w:r>
        <w:rPr>
          <w:rFonts w:ascii="黑体" w:eastAsia="黑体" w:hAnsi="宋体" w:cs="黑体" w:hint="eastAsia"/>
          <w:sz w:val="32"/>
          <w:szCs w:val="32"/>
        </w:rPr>
        <w:t>十、</w:t>
      </w:r>
      <w:bookmarkEnd w:id="68"/>
      <w:bookmarkEnd w:id="69"/>
      <w:r>
        <w:rPr>
          <w:rFonts w:ascii="黑体" w:eastAsia="黑体" w:hAnsi="宋体" w:cs="黑体" w:hint="eastAsia"/>
          <w:sz w:val="30"/>
          <w:szCs w:val="30"/>
        </w:rPr>
        <w:t>机关运行经费支出情况</w:t>
      </w:r>
      <w:bookmarkEnd w:id="70"/>
      <w:bookmarkEnd w:id="71"/>
      <w:bookmarkEnd w:id="72"/>
    </w:p>
    <w:p w:rsidR="00AF2684" w:rsidRDefault="0005217E">
      <w:pPr>
        <w:adjustRightInd w:val="0"/>
        <w:snapToGrid w:val="0"/>
        <w:spacing w:line="580" w:lineRule="exact"/>
        <w:ind w:firstLineChars="200" w:firstLine="640"/>
        <w:rPr>
          <w:rFonts w:ascii="仿宋_GB2312" w:eastAsia="仿宋_GB2312" w:hAnsi="仿宋_GB2312" w:cs="仿宋_GB2312"/>
          <w:sz w:val="32"/>
          <w:szCs w:val="32"/>
          <w:u w:val="dotDash"/>
        </w:rPr>
      </w:pPr>
      <w:bookmarkStart w:id="73" w:name="_Toc29863_WPSOffice_Level1"/>
      <w:bookmarkStart w:id="74" w:name="_Toc9443_WPSOffice_Level1"/>
      <w:bookmarkStart w:id="75" w:name="_Toc2290_WPSOffice_Level1"/>
      <w:r>
        <w:rPr>
          <w:rFonts w:ascii="仿宋_GB2312" w:eastAsia="仿宋_GB2312" w:hAnsi="仿宋_GB2312" w:cs="仿宋_GB2312" w:hint="eastAsia"/>
          <w:sz w:val="32"/>
          <w:szCs w:val="32"/>
        </w:rPr>
        <w:t>2019年度机关运行经费年初预算为</w:t>
      </w:r>
      <w:r w:rsidR="0038265C">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75.33万元，支出决算为</w:t>
      </w:r>
      <w:r w:rsidR="00417ED4">
        <w:rPr>
          <w:rFonts w:ascii="仿宋_GB2312" w:eastAsia="仿宋_GB2312" w:hAnsi="仿宋_GB2312" w:cs="仿宋_GB2312" w:hint="eastAsia"/>
          <w:sz w:val="32"/>
          <w:szCs w:val="32"/>
        </w:rPr>
        <w:t>622.28</w:t>
      </w:r>
      <w:r>
        <w:rPr>
          <w:rFonts w:ascii="仿宋_GB2312" w:eastAsia="仿宋_GB2312" w:hAnsi="仿宋_GB2312" w:cs="仿宋_GB2312" w:hint="eastAsia"/>
          <w:sz w:val="32"/>
          <w:szCs w:val="32"/>
        </w:rPr>
        <w:t>万元，完成年初预算的</w:t>
      </w:r>
      <w:r w:rsidR="00237ABF">
        <w:rPr>
          <w:rFonts w:ascii="仿宋_GB2312" w:eastAsia="仿宋_GB2312" w:hAnsi="仿宋_GB2312" w:cs="仿宋_GB2312" w:hint="eastAsia"/>
          <w:sz w:val="32"/>
          <w:szCs w:val="32"/>
        </w:rPr>
        <w:t>166</w:t>
      </w:r>
      <w:r>
        <w:rPr>
          <w:rFonts w:ascii="仿宋_GB2312" w:eastAsia="仿宋_GB2312" w:hAnsi="仿宋_GB2312" w:cs="仿宋_GB2312" w:hint="eastAsia"/>
          <w:sz w:val="32"/>
          <w:szCs w:val="32"/>
        </w:rPr>
        <w:t>%。决算数与年初预算数存在差异的主要原因是省供销社划拨了500万元的为农服务中心项目款以及申报的在职人员的各项津补贴、离退休人员的健康休养费等。</w:t>
      </w:r>
      <w:r>
        <w:rPr>
          <w:rFonts w:ascii="仿宋" w:eastAsia="仿宋" w:hAnsi="仿宋" w:cs="仿宋" w:hint="eastAsia"/>
          <w:color w:val="000000" w:themeColor="text1"/>
          <w:kern w:val="0"/>
          <w:sz w:val="32"/>
          <w:szCs w:val="32"/>
        </w:rPr>
        <w:t>。</w:t>
      </w:r>
    </w:p>
    <w:p w:rsidR="00AF2684" w:rsidRDefault="0005217E">
      <w:pPr>
        <w:adjustRightInd w:val="0"/>
        <w:snapToGrid w:val="0"/>
        <w:spacing w:line="580" w:lineRule="exact"/>
        <w:ind w:firstLineChars="200" w:firstLine="600"/>
        <w:rPr>
          <w:rFonts w:ascii="仿宋_GB2312" w:eastAsia="仿宋_GB2312" w:hAnsi="宋体"/>
          <w:sz w:val="32"/>
          <w:szCs w:val="32"/>
        </w:rPr>
      </w:pPr>
      <w:r>
        <w:rPr>
          <w:rFonts w:ascii="黑体" w:eastAsia="黑体" w:hAnsi="宋体" w:cs="黑体" w:hint="eastAsia"/>
          <w:sz w:val="30"/>
          <w:szCs w:val="30"/>
        </w:rPr>
        <w:t>十一、政府采购支出情况说明</w:t>
      </w:r>
      <w:bookmarkEnd w:id="73"/>
      <w:bookmarkEnd w:id="74"/>
      <w:bookmarkEnd w:id="75"/>
    </w:p>
    <w:p w:rsidR="00AF2684" w:rsidRDefault="0005217E">
      <w:pPr>
        <w:kinsoku w:val="0"/>
        <w:overflowPunct w:val="0"/>
        <w:autoSpaceDE w:val="0"/>
        <w:autoSpaceDN w:val="0"/>
        <w:adjustRightInd w:val="0"/>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为认真贯彻落实中央关于厉行节约的要求，2019年度政府采购支出总额为9.09万元，其中：政府采购货物支出9.09万元，政府采购服务支出0万元，政府采购工程支出0万元。授予中小企业合同金额0万元，占政府采购支出总额的0%，其中：授予小微企业合同金额0万元，占政府采购支出总额的0%。</w:t>
      </w:r>
    </w:p>
    <w:p w:rsidR="00AF2684" w:rsidRDefault="0005217E">
      <w:pPr>
        <w:kinsoku w:val="0"/>
        <w:overflowPunct w:val="0"/>
        <w:autoSpaceDE w:val="0"/>
        <w:autoSpaceDN w:val="0"/>
        <w:adjustRightInd w:val="0"/>
        <w:snapToGrid w:val="0"/>
        <w:spacing w:line="580" w:lineRule="exact"/>
        <w:ind w:firstLineChars="200" w:firstLine="600"/>
        <w:rPr>
          <w:rFonts w:ascii="黑体" w:eastAsia="黑体" w:hAnsi="宋体"/>
          <w:sz w:val="30"/>
          <w:szCs w:val="30"/>
        </w:rPr>
      </w:pPr>
      <w:bookmarkStart w:id="76" w:name="_Toc15292_WPSOffice_Level1"/>
      <w:bookmarkStart w:id="77" w:name="_Toc8693_WPSOffice_Level1"/>
      <w:bookmarkStart w:id="78" w:name="_Toc19439_WPSOffice_Level1"/>
      <w:r>
        <w:rPr>
          <w:rFonts w:ascii="黑体" w:eastAsia="黑体" w:hAnsi="宋体" w:cs="黑体" w:hint="eastAsia"/>
          <w:sz w:val="30"/>
          <w:szCs w:val="30"/>
        </w:rPr>
        <w:t>十二、国有资产占用情况</w:t>
      </w:r>
      <w:bookmarkEnd w:id="76"/>
      <w:bookmarkEnd w:id="77"/>
      <w:bookmarkEnd w:id="78"/>
    </w:p>
    <w:p w:rsidR="00AF2684" w:rsidRDefault="0005217E">
      <w:pPr>
        <w:kinsoku w:val="0"/>
        <w:overflowPunct w:val="0"/>
        <w:autoSpaceDE w:val="0"/>
        <w:autoSpaceDN w:val="0"/>
        <w:adjustRightInd w:val="0"/>
        <w:snapToGrid w:val="0"/>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2019</w:t>
      </w:r>
      <w:bookmarkStart w:id="79" w:name="_GoBack"/>
      <w:bookmarkEnd w:id="79"/>
      <w:r>
        <w:rPr>
          <w:rFonts w:ascii="仿宋" w:eastAsia="仿宋" w:hAnsi="仿宋" w:cs="仿宋" w:hint="eastAsia"/>
          <w:color w:val="000000" w:themeColor="text1"/>
          <w:kern w:val="0"/>
          <w:sz w:val="32"/>
          <w:szCs w:val="32"/>
        </w:rPr>
        <w:t>年期末，信阳市供销合作社共有一般公务用车</w:t>
      </w:r>
      <w:r w:rsidR="00660E57">
        <w:rPr>
          <w:rFonts w:ascii="仿宋" w:eastAsia="仿宋" w:hAnsi="仿宋" w:cs="仿宋" w:hint="eastAsia"/>
          <w:color w:val="000000" w:themeColor="text1"/>
          <w:kern w:val="0"/>
          <w:sz w:val="32"/>
          <w:szCs w:val="32"/>
        </w:rPr>
        <w:t>1</w:t>
      </w:r>
      <w:r>
        <w:rPr>
          <w:rFonts w:ascii="仿宋" w:eastAsia="仿宋" w:hAnsi="仿宋" w:cs="仿宋" w:hint="eastAsia"/>
          <w:color w:val="000000" w:themeColor="text1"/>
          <w:kern w:val="0"/>
          <w:sz w:val="32"/>
          <w:szCs w:val="32"/>
        </w:rPr>
        <w:t>辆,其中：</w:t>
      </w:r>
      <w:r>
        <w:rPr>
          <w:rFonts w:ascii="仿宋_GB2312" w:eastAsia="仿宋_GB2312" w:hAnsi="仿宋_GB2312" w:cs="仿宋_GB2312" w:hint="eastAsia"/>
          <w:sz w:val="32"/>
          <w:szCs w:val="32"/>
        </w:rPr>
        <w:t>省级领导干部用车0辆、主要领导干部用车</w:t>
      </w:r>
      <w:r>
        <w:rPr>
          <w:rFonts w:ascii="仿宋" w:eastAsia="仿宋" w:hAnsi="仿宋" w:cs="仿宋" w:hint="eastAsia"/>
          <w:color w:val="000000" w:themeColor="text1"/>
          <w:kern w:val="0"/>
          <w:sz w:val="32"/>
          <w:szCs w:val="32"/>
        </w:rPr>
        <w:t>0</w:t>
      </w:r>
      <w:r>
        <w:rPr>
          <w:rFonts w:ascii="仿宋_GB2312" w:eastAsia="仿宋_GB2312" w:hAnsi="仿宋_GB2312" w:cs="仿宋_GB2312" w:hint="eastAsia"/>
          <w:sz w:val="32"/>
          <w:szCs w:val="32"/>
        </w:rPr>
        <w:t>辆、机要通信用车</w:t>
      </w:r>
      <w:r>
        <w:rPr>
          <w:rFonts w:ascii="仿宋" w:eastAsia="仿宋" w:hAnsi="仿宋" w:cs="仿宋" w:hint="eastAsia"/>
          <w:color w:val="000000" w:themeColor="text1"/>
          <w:kern w:val="0"/>
          <w:sz w:val="32"/>
          <w:szCs w:val="32"/>
        </w:rPr>
        <w:t>0</w:t>
      </w:r>
      <w:r>
        <w:rPr>
          <w:rFonts w:ascii="仿宋_GB2312" w:eastAsia="仿宋_GB2312" w:hAnsi="仿宋_GB2312" w:cs="仿宋_GB2312" w:hint="eastAsia"/>
          <w:sz w:val="32"/>
          <w:szCs w:val="32"/>
        </w:rPr>
        <w:t>辆、应急保障车</w:t>
      </w:r>
      <w:r>
        <w:rPr>
          <w:rFonts w:ascii="仿宋" w:eastAsia="仿宋" w:hAnsi="仿宋" w:cs="仿宋" w:hint="eastAsia"/>
          <w:color w:val="000000" w:themeColor="text1"/>
          <w:kern w:val="0"/>
          <w:sz w:val="32"/>
          <w:szCs w:val="32"/>
        </w:rPr>
        <w:t>0</w:t>
      </w:r>
      <w:r>
        <w:rPr>
          <w:rFonts w:ascii="仿宋_GB2312" w:eastAsia="仿宋_GB2312" w:hAnsi="仿宋_GB2312" w:cs="仿宋_GB2312" w:hint="eastAsia"/>
          <w:sz w:val="32"/>
          <w:szCs w:val="32"/>
        </w:rPr>
        <w:t>辆</w:t>
      </w:r>
      <w:r>
        <w:rPr>
          <w:rFonts w:ascii="仿宋" w:eastAsia="仿宋" w:hAnsi="仿宋" w:cs="仿宋" w:hint="eastAsia"/>
          <w:color w:val="000000" w:themeColor="text1"/>
          <w:kern w:val="0"/>
          <w:sz w:val="32"/>
          <w:szCs w:val="32"/>
        </w:rPr>
        <w:t>、执法执勤用车0辆、特种专业技术用车0辆、</w:t>
      </w:r>
      <w:r>
        <w:rPr>
          <w:rFonts w:ascii="仿宋_GB2312" w:eastAsia="仿宋_GB2312" w:hAnsi="仿宋_GB2312" w:cs="仿宋_GB2312" w:hint="eastAsia"/>
          <w:sz w:val="32"/>
          <w:szCs w:val="32"/>
        </w:rPr>
        <w:t>离退休干部用车</w:t>
      </w:r>
      <w:r>
        <w:rPr>
          <w:rFonts w:ascii="仿宋" w:eastAsia="仿宋" w:hAnsi="仿宋" w:cs="仿宋" w:hint="eastAsia"/>
          <w:color w:val="000000" w:themeColor="text1"/>
          <w:kern w:val="0"/>
          <w:sz w:val="32"/>
          <w:szCs w:val="32"/>
        </w:rPr>
        <w:t>0</w:t>
      </w:r>
      <w:r>
        <w:rPr>
          <w:rFonts w:ascii="仿宋_GB2312" w:eastAsia="仿宋_GB2312" w:hAnsi="仿宋_GB2312" w:cs="仿宋_GB2312" w:hint="eastAsia"/>
          <w:sz w:val="32"/>
          <w:szCs w:val="32"/>
        </w:rPr>
        <w:t>辆、</w:t>
      </w:r>
      <w:r>
        <w:rPr>
          <w:rFonts w:ascii="仿宋" w:eastAsia="仿宋" w:hAnsi="仿宋" w:cs="仿宋" w:hint="eastAsia"/>
          <w:color w:val="000000" w:themeColor="text1"/>
          <w:kern w:val="0"/>
          <w:sz w:val="32"/>
          <w:szCs w:val="32"/>
        </w:rPr>
        <w:t>其他用车</w:t>
      </w:r>
      <w:r w:rsidR="00660E57">
        <w:rPr>
          <w:rFonts w:ascii="仿宋" w:eastAsia="仿宋" w:hAnsi="仿宋" w:cs="仿宋" w:hint="eastAsia"/>
          <w:color w:val="000000" w:themeColor="text1"/>
          <w:kern w:val="0"/>
          <w:sz w:val="32"/>
          <w:szCs w:val="32"/>
        </w:rPr>
        <w:t>1</w:t>
      </w:r>
      <w:r>
        <w:rPr>
          <w:rFonts w:ascii="仿宋" w:eastAsia="仿宋" w:hAnsi="仿宋" w:cs="仿宋" w:hint="eastAsia"/>
          <w:color w:val="000000" w:themeColor="text1"/>
          <w:kern w:val="0"/>
          <w:sz w:val="32"/>
          <w:szCs w:val="32"/>
        </w:rPr>
        <w:t>辆。单价50万元以上通用设备0台（套），单位价值100万元以上专用</w:t>
      </w:r>
      <w:r>
        <w:rPr>
          <w:rFonts w:ascii="仿宋" w:eastAsia="仿宋" w:hAnsi="仿宋" w:cs="仿宋" w:hint="eastAsia"/>
          <w:color w:val="000000" w:themeColor="text1"/>
          <w:kern w:val="0"/>
          <w:sz w:val="32"/>
          <w:szCs w:val="32"/>
        </w:rPr>
        <w:lastRenderedPageBreak/>
        <w:t>设备0台（套）。</w:t>
      </w:r>
    </w:p>
    <w:p w:rsidR="00AF2684" w:rsidRDefault="00AF2684">
      <w:pPr>
        <w:kinsoku w:val="0"/>
        <w:overflowPunct w:val="0"/>
        <w:autoSpaceDE w:val="0"/>
        <w:autoSpaceDN w:val="0"/>
        <w:adjustRightInd w:val="0"/>
        <w:snapToGrid w:val="0"/>
        <w:spacing w:line="580" w:lineRule="exact"/>
        <w:ind w:firstLineChars="200" w:firstLine="640"/>
        <w:rPr>
          <w:rFonts w:ascii="仿宋" w:eastAsia="仿宋" w:hAnsi="仿宋" w:cs="仿宋"/>
          <w:color w:val="000000" w:themeColor="text1"/>
          <w:kern w:val="0"/>
          <w:sz w:val="32"/>
          <w:szCs w:val="32"/>
        </w:rPr>
      </w:pPr>
    </w:p>
    <w:p w:rsidR="00AF2684" w:rsidRDefault="00AF2684">
      <w:pPr>
        <w:kinsoku w:val="0"/>
        <w:overflowPunct w:val="0"/>
        <w:autoSpaceDE w:val="0"/>
        <w:autoSpaceDN w:val="0"/>
        <w:adjustRightInd w:val="0"/>
        <w:snapToGrid w:val="0"/>
        <w:spacing w:line="580" w:lineRule="exact"/>
        <w:ind w:firstLineChars="200" w:firstLine="640"/>
        <w:rPr>
          <w:rFonts w:ascii="仿宋" w:eastAsia="仿宋" w:hAnsi="仿宋" w:cs="仿宋"/>
          <w:color w:val="333333"/>
          <w:kern w:val="0"/>
          <w:sz w:val="32"/>
          <w:szCs w:val="32"/>
        </w:rPr>
        <w:sectPr w:rsidR="00AF2684">
          <w:pgSz w:w="11906" w:h="16838"/>
          <w:pgMar w:top="1440" w:right="1803" w:bottom="1440" w:left="1803" w:header="851" w:footer="992" w:gutter="0"/>
          <w:pgNumType w:fmt="numberInDash"/>
          <w:cols w:space="425"/>
          <w:docGrid w:type="lines" w:linePitch="317"/>
        </w:sectPr>
      </w:pPr>
    </w:p>
    <w:p w:rsidR="00AF2684" w:rsidRDefault="00AF2684">
      <w:pPr>
        <w:jc w:val="center"/>
        <w:outlineLvl w:val="0"/>
        <w:rPr>
          <w:rFonts w:ascii="黑体" w:eastAsia="黑体" w:hAnsi="黑体" w:cs="黑体"/>
          <w:sz w:val="48"/>
          <w:szCs w:val="48"/>
        </w:rPr>
      </w:pPr>
      <w:bookmarkStart w:id="80" w:name="_Toc535830843"/>
      <w:bookmarkStart w:id="81" w:name="_Toc17446"/>
    </w:p>
    <w:p w:rsidR="00AF2684" w:rsidRDefault="00AF2684">
      <w:pPr>
        <w:jc w:val="center"/>
        <w:outlineLvl w:val="0"/>
        <w:rPr>
          <w:rFonts w:ascii="黑体" w:eastAsia="黑体" w:hAnsi="黑体" w:cs="黑体"/>
          <w:sz w:val="48"/>
          <w:szCs w:val="48"/>
        </w:rPr>
      </w:pPr>
    </w:p>
    <w:p w:rsidR="00AF2684" w:rsidRDefault="00AF2684">
      <w:pPr>
        <w:jc w:val="center"/>
        <w:outlineLvl w:val="0"/>
        <w:rPr>
          <w:rFonts w:ascii="黑体" w:eastAsia="黑体" w:hAnsi="黑体" w:cs="黑体"/>
          <w:sz w:val="48"/>
          <w:szCs w:val="48"/>
        </w:rPr>
      </w:pPr>
    </w:p>
    <w:p w:rsidR="00AF2684" w:rsidRDefault="00AF2684">
      <w:pPr>
        <w:jc w:val="center"/>
        <w:outlineLvl w:val="0"/>
        <w:rPr>
          <w:rFonts w:ascii="黑体" w:eastAsia="黑体" w:hAnsi="黑体" w:cs="黑体"/>
          <w:sz w:val="48"/>
          <w:szCs w:val="48"/>
        </w:rPr>
      </w:pPr>
    </w:p>
    <w:p w:rsidR="00AF2684" w:rsidRDefault="00AF2684">
      <w:pPr>
        <w:jc w:val="center"/>
        <w:outlineLvl w:val="0"/>
        <w:rPr>
          <w:rFonts w:ascii="黑体" w:eastAsia="黑体" w:hAnsi="黑体" w:cs="黑体"/>
          <w:sz w:val="48"/>
          <w:szCs w:val="48"/>
        </w:rPr>
      </w:pPr>
    </w:p>
    <w:p w:rsidR="00AF2684" w:rsidRDefault="00AF2684">
      <w:pPr>
        <w:jc w:val="center"/>
        <w:outlineLvl w:val="0"/>
        <w:rPr>
          <w:rFonts w:ascii="黑体" w:eastAsia="黑体" w:hAnsi="黑体" w:cs="黑体"/>
          <w:sz w:val="48"/>
          <w:szCs w:val="48"/>
        </w:rPr>
      </w:pPr>
    </w:p>
    <w:p w:rsidR="00AF2684" w:rsidRDefault="00AF2684">
      <w:pPr>
        <w:jc w:val="center"/>
        <w:outlineLvl w:val="0"/>
        <w:rPr>
          <w:rFonts w:ascii="黑体" w:eastAsia="黑体" w:hAnsi="黑体" w:cs="黑体"/>
          <w:sz w:val="48"/>
          <w:szCs w:val="48"/>
        </w:rPr>
      </w:pPr>
    </w:p>
    <w:p w:rsidR="00AF2684" w:rsidRDefault="00AF2684">
      <w:pPr>
        <w:jc w:val="center"/>
        <w:outlineLvl w:val="0"/>
        <w:rPr>
          <w:rFonts w:ascii="黑体" w:eastAsia="黑体" w:hAnsi="黑体" w:cs="黑体"/>
          <w:sz w:val="48"/>
          <w:szCs w:val="48"/>
        </w:rPr>
      </w:pPr>
    </w:p>
    <w:p w:rsidR="00AF2684" w:rsidRDefault="00AF2684">
      <w:pPr>
        <w:jc w:val="center"/>
        <w:outlineLvl w:val="0"/>
        <w:rPr>
          <w:rFonts w:ascii="黑体" w:eastAsia="黑体" w:hAnsi="黑体" w:cs="黑体"/>
          <w:sz w:val="48"/>
          <w:szCs w:val="48"/>
        </w:rPr>
      </w:pPr>
    </w:p>
    <w:p w:rsidR="00AF2684" w:rsidRDefault="0005217E">
      <w:pPr>
        <w:jc w:val="center"/>
        <w:outlineLvl w:val="0"/>
        <w:rPr>
          <w:rFonts w:ascii="黑体" w:eastAsia="黑体" w:hAnsi="黑体" w:cs="黑体"/>
          <w:sz w:val="48"/>
          <w:szCs w:val="48"/>
        </w:rPr>
      </w:pPr>
      <w:bookmarkStart w:id="82" w:name="_Toc19124_WPSOffice_Level1"/>
      <w:bookmarkStart w:id="83" w:name="_Toc28237_WPSOffice_Level1"/>
      <w:bookmarkStart w:id="84" w:name="_Toc30474_WPSOffice_Level1"/>
      <w:r>
        <w:rPr>
          <w:rFonts w:ascii="黑体" w:eastAsia="黑体" w:hAnsi="黑体" w:cs="黑体" w:hint="eastAsia"/>
          <w:sz w:val="48"/>
          <w:szCs w:val="48"/>
        </w:rPr>
        <w:t>第三部分  名词解释</w:t>
      </w:r>
      <w:bookmarkEnd w:id="82"/>
      <w:bookmarkEnd w:id="83"/>
      <w:bookmarkEnd w:id="84"/>
    </w:p>
    <w:p w:rsidR="00AF2684" w:rsidRDefault="00AF2684">
      <w:pPr>
        <w:pStyle w:val="10"/>
        <w:widowControl/>
        <w:adjustRightInd w:val="0"/>
        <w:snapToGrid w:val="0"/>
        <w:spacing w:line="580" w:lineRule="exact"/>
        <w:ind w:firstLineChars="300" w:firstLine="960"/>
        <w:outlineLvl w:val="1"/>
        <w:rPr>
          <w:rFonts w:ascii="黑体" w:eastAsia="黑体" w:hAnsi="宋体" w:cs="黑体"/>
          <w:sz w:val="32"/>
          <w:szCs w:val="32"/>
        </w:rPr>
      </w:pPr>
    </w:p>
    <w:p w:rsidR="00AF2684" w:rsidRDefault="00AF2684">
      <w:pPr>
        <w:pStyle w:val="10"/>
        <w:widowControl/>
        <w:adjustRightInd w:val="0"/>
        <w:snapToGrid w:val="0"/>
        <w:spacing w:line="580" w:lineRule="exact"/>
        <w:ind w:firstLineChars="300" w:firstLine="960"/>
        <w:outlineLvl w:val="1"/>
        <w:rPr>
          <w:rFonts w:ascii="黑体" w:eastAsia="黑体" w:hAnsi="宋体" w:cs="黑体"/>
          <w:sz w:val="32"/>
          <w:szCs w:val="32"/>
        </w:rPr>
      </w:pPr>
    </w:p>
    <w:p w:rsidR="00AF2684" w:rsidRDefault="00AF2684">
      <w:pPr>
        <w:pStyle w:val="10"/>
        <w:widowControl/>
        <w:adjustRightInd w:val="0"/>
        <w:snapToGrid w:val="0"/>
        <w:spacing w:line="580" w:lineRule="exact"/>
        <w:ind w:firstLineChars="300" w:firstLine="960"/>
        <w:outlineLvl w:val="1"/>
        <w:rPr>
          <w:rFonts w:ascii="黑体" w:eastAsia="黑体" w:hAnsi="宋体" w:cs="黑体"/>
          <w:sz w:val="32"/>
          <w:szCs w:val="32"/>
        </w:rPr>
      </w:pPr>
    </w:p>
    <w:p w:rsidR="00AF2684" w:rsidRDefault="00AF2684">
      <w:pPr>
        <w:pStyle w:val="10"/>
        <w:widowControl/>
        <w:adjustRightInd w:val="0"/>
        <w:snapToGrid w:val="0"/>
        <w:spacing w:line="580" w:lineRule="exact"/>
        <w:ind w:firstLineChars="300" w:firstLine="960"/>
        <w:outlineLvl w:val="1"/>
        <w:rPr>
          <w:rFonts w:ascii="黑体" w:eastAsia="黑体" w:hAnsi="宋体" w:cs="黑体"/>
          <w:sz w:val="32"/>
          <w:szCs w:val="32"/>
        </w:rPr>
      </w:pPr>
    </w:p>
    <w:p w:rsidR="00AF2684" w:rsidRDefault="00AF2684">
      <w:pPr>
        <w:pStyle w:val="10"/>
        <w:widowControl/>
        <w:adjustRightInd w:val="0"/>
        <w:snapToGrid w:val="0"/>
        <w:spacing w:line="580" w:lineRule="exact"/>
        <w:ind w:firstLineChars="300" w:firstLine="960"/>
        <w:outlineLvl w:val="1"/>
        <w:rPr>
          <w:rFonts w:ascii="黑体" w:eastAsia="黑体" w:hAnsi="宋体" w:cs="黑体"/>
          <w:sz w:val="32"/>
          <w:szCs w:val="32"/>
        </w:rPr>
      </w:pPr>
    </w:p>
    <w:p w:rsidR="00AF2684" w:rsidRDefault="00AF2684">
      <w:pPr>
        <w:pStyle w:val="10"/>
        <w:widowControl/>
        <w:adjustRightInd w:val="0"/>
        <w:snapToGrid w:val="0"/>
        <w:spacing w:line="580" w:lineRule="exact"/>
        <w:ind w:firstLineChars="300" w:firstLine="960"/>
        <w:outlineLvl w:val="1"/>
        <w:rPr>
          <w:rFonts w:ascii="黑体" w:eastAsia="黑体" w:hAnsi="宋体" w:cs="黑体"/>
          <w:sz w:val="32"/>
          <w:szCs w:val="32"/>
        </w:rPr>
      </w:pPr>
    </w:p>
    <w:p w:rsidR="00AF2684" w:rsidRDefault="00AF2684">
      <w:pPr>
        <w:pStyle w:val="10"/>
        <w:widowControl/>
        <w:adjustRightInd w:val="0"/>
        <w:snapToGrid w:val="0"/>
        <w:spacing w:line="580" w:lineRule="exact"/>
        <w:ind w:firstLineChars="300" w:firstLine="960"/>
        <w:outlineLvl w:val="1"/>
        <w:rPr>
          <w:rFonts w:ascii="黑体" w:eastAsia="黑体" w:hAnsi="宋体" w:cs="黑体"/>
          <w:sz w:val="32"/>
          <w:szCs w:val="32"/>
        </w:rPr>
      </w:pPr>
    </w:p>
    <w:p w:rsidR="00AF2684" w:rsidRDefault="00AF2684">
      <w:pPr>
        <w:pStyle w:val="10"/>
        <w:widowControl/>
        <w:adjustRightInd w:val="0"/>
        <w:snapToGrid w:val="0"/>
        <w:spacing w:line="580" w:lineRule="exact"/>
        <w:ind w:firstLineChars="300" w:firstLine="960"/>
        <w:outlineLvl w:val="1"/>
        <w:rPr>
          <w:rFonts w:ascii="黑体" w:eastAsia="黑体" w:hAnsi="宋体" w:cs="黑体"/>
          <w:sz w:val="32"/>
          <w:szCs w:val="32"/>
        </w:rPr>
      </w:pPr>
    </w:p>
    <w:p w:rsidR="00AF2684" w:rsidRDefault="00AF2684">
      <w:pPr>
        <w:pStyle w:val="10"/>
        <w:widowControl/>
        <w:adjustRightInd w:val="0"/>
        <w:snapToGrid w:val="0"/>
        <w:spacing w:line="580" w:lineRule="exact"/>
        <w:ind w:firstLineChars="300" w:firstLine="960"/>
        <w:outlineLvl w:val="1"/>
        <w:rPr>
          <w:rFonts w:ascii="黑体" w:eastAsia="黑体" w:hAnsi="宋体" w:cs="黑体"/>
          <w:sz w:val="32"/>
          <w:szCs w:val="32"/>
        </w:rPr>
      </w:pPr>
    </w:p>
    <w:p w:rsidR="00AF2684" w:rsidRDefault="00AF2684">
      <w:pPr>
        <w:pStyle w:val="10"/>
        <w:widowControl/>
        <w:adjustRightInd w:val="0"/>
        <w:snapToGrid w:val="0"/>
        <w:spacing w:line="580" w:lineRule="exact"/>
        <w:ind w:firstLineChars="300" w:firstLine="960"/>
        <w:outlineLvl w:val="1"/>
        <w:rPr>
          <w:rFonts w:ascii="黑体" w:eastAsia="黑体" w:hAnsi="宋体" w:cs="黑体"/>
          <w:sz w:val="32"/>
          <w:szCs w:val="32"/>
        </w:rPr>
      </w:pPr>
    </w:p>
    <w:p w:rsidR="00AF2684" w:rsidRDefault="00AF2684">
      <w:pPr>
        <w:pStyle w:val="10"/>
        <w:widowControl/>
        <w:adjustRightInd w:val="0"/>
        <w:snapToGrid w:val="0"/>
        <w:spacing w:line="580" w:lineRule="exact"/>
        <w:ind w:firstLineChars="300" w:firstLine="960"/>
        <w:outlineLvl w:val="1"/>
        <w:rPr>
          <w:rFonts w:ascii="黑体" w:eastAsia="黑体" w:hAnsi="宋体" w:cs="黑体"/>
          <w:sz w:val="32"/>
          <w:szCs w:val="32"/>
        </w:rPr>
      </w:pPr>
    </w:p>
    <w:p w:rsidR="00AF2684" w:rsidRDefault="00AF2684">
      <w:pPr>
        <w:pStyle w:val="10"/>
        <w:widowControl/>
        <w:adjustRightInd w:val="0"/>
        <w:snapToGrid w:val="0"/>
        <w:spacing w:line="580" w:lineRule="exact"/>
        <w:ind w:firstLineChars="300" w:firstLine="960"/>
        <w:outlineLvl w:val="1"/>
        <w:rPr>
          <w:rFonts w:ascii="黑体" w:eastAsia="黑体" w:hAnsi="宋体" w:cs="黑体"/>
          <w:sz w:val="32"/>
          <w:szCs w:val="32"/>
        </w:rPr>
      </w:pPr>
    </w:p>
    <w:p w:rsidR="00AF2684" w:rsidRDefault="00AF2684">
      <w:pPr>
        <w:pStyle w:val="10"/>
        <w:widowControl/>
        <w:adjustRightInd w:val="0"/>
        <w:snapToGrid w:val="0"/>
        <w:spacing w:line="580" w:lineRule="exact"/>
        <w:ind w:firstLineChars="300" w:firstLine="960"/>
        <w:outlineLvl w:val="1"/>
        <w:rPr>
          <w:rFonts w:ascii="黑体" w:eastAsia="黑体" w:hAnsi="宋体" w:cs="黑体"/>
          <w:sz w:val="32"/>
          <w:szCs w:val="32"/>
        </w:rPr>
      </w:pPr>
    </w:p>
    <w:bookmarkEnd w:id="80"/>
    <w:bookmarkEnd w:id="81"/>
    <w:p w:rsidR="00AF2684" w:rsidRDefault="0005217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rsidR="00AF2684" w:rsidRDefault="0005217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AF2684" w:rsidRDefault="0005217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AF2684" w:rsidRDefault="0005217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AF2684" w:rsidRDefault="0005217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AF2684" w:rsidRDefault="0005217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AF2684" w:rsidRDefault="0005217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AF2684" w:rsidRDefault="0005217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AF2684" w:rsidRDefault="0005217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AF2684" w:rsidRDefault="0005217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w:t>
      </w:r>
      <w:r>
        <w:rPr>
          <w:rFonts w:ascii="仿宋_GB2312" w:eastAsia="仿宋_GB2312" w:hAnsi="仿宋_GB2312" w:cs="仿宋_GB2312" w:hint="eastAsia"/>
          <w:sz w:val="32"/>
          <w:szCs w:val="32"/>
        </w:rPr>
        <w:lastRenderedPageBreak/>
        <w:t>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AF2684" w:rsidRDefault="0005217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F2684" w:rsidRDefault="0005217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AF2684" w:rsidRDefault="0005217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AF2684" w:rsidRDefault="0005217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AF2684" w:rsidRDefault="0005217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AF2684" w:rsidRDefault="0005217E">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十六、年末结余：本年度或以前年度预算安排，已执行完毕或因客观条件发生变化无法按原预算安排实施，不需要再使用或无法按原预算安排继续使用的资金。</w:t>
      </w:r>
    </w:p>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AF2684"/>
    <w:p w:rsidR="00AF2684" w:rsidRDefault="0005217E">
      <w:pPr>
        <w:jc w:val="center"/>
        <w:outlineLvl w:val="0"/>
        <w:rPr>
          <w:rFonts w:ascii="黑体" w:eastAsia="黑体" w:hAnsi="黑体" w:cs="黑体"/>
          <w:sz w:val="48"/>
          <w:szCs w:val="48"/>
        </w:rPr>
      </w:pPr>
      <w:r>
        <w:rPr>
          <w:rFonts w:ascii="黑体" w:eastAsia="黑体" w:hAnsi="黑体" w:cs="黑体" w:hint="eastAsia"/>
          <w:sz w:val="48"/>
          <w:szCs w:val="48"/>
        </w:rPr>
        <w:t>第四部分</w:t>
      </w:r>
      <w:r>
        <w:rPr>
          <w:rFonts w:ascii="黑体" w:eastAsia="黑体" w:hAnsi="黑体" w:cs="黑体" w:hint="eastAsia"/>
          <w:color w:val="FF0000"/>
          <w:sz w:val="48"/>
          <w:szCs w:val="48"/>
        </w:rPr>
        <w:t>（Excel表格）</w:t>
      </w:r>
    </w:p>
    <w:p w:rsidR="00AF2684" w:rsidRDefault="0005217E">
      <w:pPr>
        <w:jc w:val="center"/>
        <w:rPr>
          <w:rFonts w:ascii="黑体" w:eastAsia="黑体" w:hAnsi="黑体" w:cs="黑体"/>
          <w:sz w:val="48"/>
          <w:szCs w:val="48"/>
        </w:rPr>
      </w:pPr>
      <w:r>
        <w:rPr>
          <w:rFonts w:ascii="黑体" w:eastAsia="黑体" w:hAnsi="黑体" w:cs="黑体" w:hint="eastAsia"/>
          <w:sz w:val="48"/>
          <w:szCs w:val="48"/>
        </w:rPr>
        <w:t>信阳市旅游局2018年度部门决算表</w:t>
      </w:r>
    </w:p>
    <w:p w:rsidR="00AF2684" w:rsidRDefault="00AF2684">
      <w:pPr>
        <w:adjustRightInd w:val="0"/>
        <w:snapToGrid w:val="0"/>
        <w:spacing w:line="360" w:lineRule="auto"/>
        <w:ind w:firstLineChars="200" w:firstLine="640"/>
        <w:rPr>
          <w:rFonts w:ascii="仿宋" w:eastAsia="仿宋" w:hAnsi="仿宋" w:cs="Courier New"/>
          <w:sz w:val="32"/>
          <w:szCs w:val="32"/>
        </w:rPr>
      </w:pPr>
    </w:p>
    <w:p w:rsidR="00AF2684" w:rsidRDefault="00AF2684">
      <w:pPr>
        <w:pStyle w:val="a6"/>
        <w:shd w:val="clear" w:color="auto" w:fill="FFFFFF"/>
        <w:spacing w:before="75" w:beforeAutospacing="0" w:after="240" w:afterAutospacing="0" w:line="480" w:lineRule="atLeast"/>
        <w:ind w:firstLine="480"/>
        <w:rPr>
          <w:rFonts w:ascii="仿宋" w:eastAsia="仿宋" w:hAnsi="仿宋"/>
          <w:color w:val="000000"/>
          <w:sz w:val="32"/>
          <w:szCs w:val="32"/>
        </w:rPr>
      </w:pPr>
    </w:p>
    <w:p w:rsidR="00AF2684" w:rsidRDefault="00AF2684">
      <w:pPr>
        <w:jc w:val="center"/>
        <w:rPr>
          <w:szCs w:val="22"/>
        </w:rPr>
      </w:pPr>
    </w:p>
    <w:p w:rsidR="00AF2684" w:rsidRDefault="00AF2684">
      <w:pPr>
        <w:jc w:val="center"/>
      </w:pPr>
    </w:p>
    <w:p w:rsidR="00AF2684" w:rsidRDefault="00AF2684">
      <w:pPr>
        <w:jc w:val="center"/>
      </w:pPr>
    </w:p>
    <w:p w:rsidR="00AF2684" w:rsidRDefault="00AF2684">
      <w:pPr>
        <w:jc w:val="center"/>
      </w:pPr>
    </w:p>
    <w:p w:rsidR="00AF2684" w:rsidRDefault="00AF2684">
      <w:pPr>
        <w:jc w:val="center"/>
      </w:pPr>
    </w:p>
    <w:p w:rsidR="00AF2684" w:rsidRDefault="00AF2684">
      <w:pPr>
        <w:jc w:val="center"/>
      </w:pPr>
    </w:p>
    <w:p w:rsidR="00AF2684" w:rsidRDefault="00AF2684">
      <w:pPr>
        <w:jc w:val="center"/>
      </w:pPr>
    </w:p>
    <w:p w:rsidR="00AF2684" w:rsidRDefault="00AF2684">
      <w:pPr>
        <w:jc w:val="center"/>
      </w:pPr>
    </w:p>
    <w:p w:rsidR="00AF2684" w:rsidRDefault="00AF2684">
      <w:pPr>
        <w:jc w:val="center"/>
      </w:pPr>
    </w:p>
    <w:p w:rsidR="00AF2684" w:rsidRDefault="00AF2684">
      <w:pPr>
        <w:jc w:val="center"/>
      </w:pPr>
    </w:p>
    <w:p w:rsidR="00AF2684" w:rsidRDefault="00AF2684">
      <w:pPr>
        <w:jc w:val="center"/>
      </w:pPr>
    </w:p>
    <w:p w:rsidR="00AF2684" w:rsidRDefault="00AF2684">
      <w:pPr>
        <w:jc w:val="center"/>
      </w:pPr>
    </w:p>
    <w:p w:rsidR="00AF2684" w:rsidRDefault="00AF2684">
      <w:pPr>
        <w:jc w:val="center"/>
      </w:pPr>
    </w:p>
    <w:p w:rsidR="00AF2684" w:rsidRDefault="00AF2684">
      <w:pPr>
        <w:jc w:val="center"/>
      </w:pPr>
    </w:p>
    <w:p w:rsidR="00AF2684" w:rsidRDefault="00AF2684">
      <w:pPr>
        <w:jc w:val="center"/>
      </w:pPr>
    </w:p>
    <w:p w:rsidR="00AF2684" w:rsidRDefault="00AF2684">
      <w:pPr>
        <w:jc w:val="center"/>
      </w:pPr>
    </w:p>
    <w:p w:rsidR="00AF2684" w:rsidRDefault="00AF2684">
      <w:pPr>
        <w:jc w:val="center"/>
      </w:pPr>
    </w:p>
    <w:p w:rsidR="00AF2684" w:rsidRDefault="00AF2684">
      <w:pPr>
        <w:jc w:val="center"/>
      </w:pPr>
    </w:p>
    <w:p w:rsidR="00AF2684" w:rsidRDefault="0005217E">
      <w:pPr>
        <w:jc w:val="center"/>
      </w:pPr>
      <w:r>
        <w:rPr>
          <w:rFonts w:ascii="黑体" w:eastAsia="黑体" w:hAnsi="宋体" w:cs="宋体" w:hint="eastAsia"/>
          <w:color w:val="000000"/>
          <w:kern w:val="0"/>
          <w:sz w:val="28"/>
          <w:szCs w:val="28"/>
        </w:rPr>
        <w:t>说明：表中单元格数据为空时，表示该单元格数据为零；整张表数据为空时，表示部门该表中所有数据均为零，当年无表中相关收支</w:t>
      </w:r>
    </w:p>
    <w:p w:rsidR="00AF2684" w:rsidRDefault="00AF2684"/>
    <w:sectPr w:rsidR="00AF2684" w:rsidSect="00AF2684">
      <w:pgSz w:w="11906" w:h="16838"/>
      <w:pgMar w:top="1440" w:right="1803" w:bottom="1440" w:left="1803" w:header="851" w:footer="992" w:gutter="0"/>
      <w:pgNumType w:fmt="numberInDash"/>
      <w:cols w:space="425"/>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553" w:rsidRDefault="00B21553" w:rsidP="00AF2684">
      <w:r>
        <w:separator/>
      </w:r>
    </w:p>
  </w:endnote>
  <w:endnote w:type="continuationSeparator" w:id="1">
    <w:p w:rsidR="00B21553" w:rsidRDefault="00B21553" w:rsidP="00AF2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84" w:rsidRDefault="00D8665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filled="f" stroked="f">
          <v:textbox style="mso-fit-shape-to-text:t" inset="0,0,0,0">
            <w:txbxContent>
              <w:p w:rsidR="00AF2684" w:rsidRDefault="00D8665E">
                <w:pPr>
                  <w:snapToGrid w:val="0"/>
                  <w:rPr>
                    <w:sz w:val="18"/>
                  </w:rPr>
                </w:pPr>
                <w:r>
                  <w:rPr>
                    <w:rFonts w:hint="eastAsia"/>
                    <w:sz w:val="18"/>
                  </w:rPr>
                  <w:fldChar w:fldCharType="begin"/>
                </w:r>
                <w:r w:rsidR="0005217E">
                  <w:rPr>
                    <w:rFonts w:hint="eastAsia"/>
                    <w:sz w:val="18"/>
                  </w:rPr>
                  <w:instrText xml:space="preserve"> PAGE  \* MERGEFORMAT </w:instrText>
                </w:r>
                <w:r>
                  <w:rPr>
                    <w:rFonts w:hint="eastAsia"/>
                    <w:sz w:val="18"/>
                  </w:rPr>
                  <w:fldChar w:fldCharType="separate"/>
                </w:r>
                <w:r w:rsidR="004A4D31">
                  <w:rPr>
                    <w:noProof/>
                    <w:sz w:val="18"/>
                  </w:rPr>
                  <w:t>- 3 -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84" w:rsidRDefault="00D8665E">
    <w:pPr>
      <w:pStyle w:val="a3"/>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AF2684" w:rsidRDefault="00D8665E">
                <w:pPr>
                  <w:snapToGrid w:val="0"/>
                  <w:rPr>
                    <w:sz w:val="18"/>
                  </w:rPr>
                </w:pPr>
                <w:r>
                  <w:rPr>
                    <w:rFonts w:hint="eastAsia"/>
                    <w:sz w:val="18"/>
                  </w:rPr>
                  <w:fldChar w:fldCharType="begin"/>
                </w:r>
                <w:r w:rsidR="0005217E">
                  <w:rPr>
                    <w:rFonts w:hint="eastAsia"/>
                    <w:sz w:val="18"/>
                  </w:rPr>
                  <w:instrText xml:space="preserve"> PAGE  \* MERGEFORMAT </w:instrText>
                </w:r>
                <w:r>
                  <w:rPr>
                    <w:rFonts w:hint="eastAsia"/>
                    <w:sz w:val="18"/>
                  </w:rPr>
                  <w:fldChar w:fldCharType="separate"/>
                </w:r>
                <w:r w:rsidR="004A4D31">
                  <w:rPr>
                    <w:noProof/>
                    <w:sz w:val="18"/>
                  </w:rPr>
                  <w:t>- 9 -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553" w:rsidRDefault="00B21553" w:rsidP="00AF2684">
      <w:r>
        <w:separator/>
      </w:r>
    </w:p>
  </w:footnote>
  <w:footnote w:type="continuationSeparator" w:id="1">
    <w:p w:rsidR="00B21553" w:rsidRDefault="00B21553" w:rsidP="00AF2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D76686"/>
    <w:multiLevelType w:val="multilevel"/>
    <w:tmpl w:val="FCD76686"/>
    <w:lvl w:ilvl="0">
      <w:start w:val="1"/>
      <w:numFmt w:val="chineseCounting"/>
      <w:suff w:val="nothing"/>
      <w:lvlText w:val="（%1）"/>
      <w:lvlJc w:val="left"/>
      <w:pPr>
        <w:ind w:left="6" w:firstLine="420"/>
      </w:pPr>
      <w:rPr>
        <w:rFonts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39A5655"/>
    <w:multiLevelType w:val="multilevel"/>
    <w:tmpl w:val="039A5655"/>
    <w:lvl w:ilvl="0">
      <w:start w:val="1"/>
      <w:numFmt w:val="japaneseCounting"/>
      <w:lvlText w:val="（%1）"/>
      <w:lvlJc w:val="left"/>
      <w:pPr>
        <w:ind w:left="1686" w:hanging="1080"/>
      </w:pPr>
      <w:rPr>
        <w:rFonts w:cs="Times New Roman"/>
      </w:rPr>
    </w:lvl>
    <w:lvl w:ilvl="1">
      <w:start w:val="1"/>
      <w:numFmt w:val="lowerLetter"/>
      <w:lvlText w:val="%2)"/>
      <w:lvlJc w:val="left"/>
      <w:pPr>
        <w:ind w:left="1446" w:hanging="420"/>
      </w:pPr>
      <w:rPr>
        <w:rFonts w:cs="Times New Roman"/>
      </w:rPr>
    </w:lvl>
    <w:lvl w:ilvl="2">
      <w:start w:val="1"/>
      <w:numFmt w:val="lowerRoman"/>
      <w:lvlText w:val="%3."/>
      <w:lvlJc w:val="right"/>
      <w:pPr>
        <w:ind w:left="1866" w:hanging="420"/>
      </w:pPr>
      <w:rPr>
        <w:rFonts w:cs="Times New Roman"/>
      </w:rPr>
    </w:lvl>
    <w:lvl w:ilvl="3">
      <w:start w:val="1"/>
      <w:numFmt w:val="decimal"/>
      <w:lvlText w:val="%4."/>
      <w:lvlJc w:val="left"/>
      <w:pPr>
        <w:ind w:left="2286" w:hanging="420"/>
      </w:pPr>
      <w:rPr>
        <w:rFonts w:cs="Times New Roman"/>
      </w:rPr>
    </w:lvl>
    <w:lvl w:ilvl="4">
      <w:start w:val="1"/>
      <w:numFmt w:val="lowerLetter"/>
      <w:lvlText w:val="%5)"/>
      <w:lvlJc w:val="left"/>
      <w:pPr>
        <w:ind w:left="2706" w:hanging="420"/>
      </w:pPr>
      <w:rPr>
        <w:rFonts w:cs="Times New Roman"/>
      </w:rPr>
    </w:lvl>
    <w:lvl w:ilvl="5">
      <w:start w:val="1"/>
      <w:numFmt w:val="lowerRoman"/>
      <w:lvlText w:val="%6."/>
      <w:lvlJc w:val="right"/>
      <w:pPr>
        <w:ind w:left="3126" w:hanging="420"/>
      </w:pPr>
      <w:rPr>
        <w:rFonts w:cs="Times New Roman"/>
      </w:rPr>
    </w:lvl>
    <w:lvl w:ilvl="6">
      <w:start w:val="1"/>
      <w:numFmt w:val="decimal"/>
      <w:lvlText w:val="%7."/>
      <w:lvlJc w:val="left"/>
      <w:pPr>
        <w:ind w:left="3546" w:hanging="420"/>
      </w:pPr>
      <w:rPr>
        <w:rFonts w:cs="Times New Roman"/>
      </w:rPr>
    </w:lvl>
    <w:lvl w:ilvl="7">
      <w:start w:val="1"/>
      <w:numFmt w:val="lowerLetter"/>
      <w:lvlText w:val="%8)"/>
      <w:lvlJc w:val="left"/>
      <w:pPr>
        <w:ind w:left="3966" w:hanging="420"/>
      </w:pPr>
      <w:rPr>
        <w:rFonts w:cs="Times New Roman"/>
      </w:rPr>
    </w:lvl>
    <w:lvl w:ilvl="8">
      <w:start w:val="1"/>
      <w:numFmt w:val="lowerRoman"/>
      <w:lvlText w:val="%9."/>
      <w:lvlJc w:val="right"/>
      <w:pPr>
        <w:ind w:left="4386" w:hanging="420"/>
      </w:pPr>
      <w:rPr>
        <w:rFonts w:cs="Times New Roman"/>
      </w:rPr>
    </w:lvl>
  </w:abstractNum>
  <w:abstractNum w:abstractNumId="2">
    <w:nsid w:val="5971BE17"/>
    <w:multiLevelType w:val="singleLevel"/>
    <w:tmpl w:val="5971BE17"/>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F52749A"/>
    <w:rsid w:val="000173B2"/>
    <w:rsid w:val="00024642"/>
    <w:rsid w:val="000338E2"/>
    <w:rsid w:val="0005217E"/>
    <w:rsid w:val="000746BC"/>
    <w:rsid w:val="0008188C"/>
    <w:rsid w:val="00090F45"/>
    <w:rsid w:val="000B66C9"/>
    <w:rsid w:val="001F3A32"/>
    <w:rsid w:val="00237ABF"/>
    <w:rsid w:val="0029237A"/>
    <w:rsid w:val="002B1F8A"/>
    <w:rsid w:val="002C18D0"/>
    <w:rsid w:val="002E3E2A"/>
    <w:rsid w:val="0033427C"/>
    <w:rsid w:val="003416F7"/>
    <w:rsid w:val="0038265C"/>
    <w:rsid w:val="003A7A06"/>
    <w:rsid w:val="003D3B2E"/>
    <w:rsid w:val="003F0D2B"/>
    <w:rsid w:val="003F2AE5"/>
    <w:rsid w:val="003F7871"/>
    <w:rsid w:val="00417ED4"/>
    <w:rsid w:val="0042457D"/>
    <w:rsid w:val="00475CCE"/>
    <w:rsid w:val="00482211"/>
    <w:rsid w:val="004A1D45"/>
    <w:rsid w:val="004A4D31"/>
    <w:rsid w:val="00581A2B"/>
    <w:rsid w:val="005C3D46"/>
    <w:rsid w:val="005C4423"/>
    <w:rsid w:val="00600630"/>
    <w:rsid w:val="0062453F"/>
    <w:rsid w:val="00660E57"/>
    <w:rsid w:val="00673093"/>
    <w:rsid w:val="006A4212"/>
    <w:rsid w:val="006D010A"/>
    <w:rsid w:val="006D6F38"/>
    <w:rsid w:val="007405C6"/>
    <w:rsid w:val="00744159"/>
    <w:rsid w:val="0075262F"/>
    <w:rsid w:val="0081037C"/>
    <w:rsid w:val="0084240A"/>
    <w:rsid w:val="008A2658"/>
    <w:rsid w:val="008C0732"/>
    <w:rsid w:val="008D2273"/>
    <w:rsid w:val="00905020"/>
    <w:rsid w:val="00942D4F"/>
    <w:rsid w:val="00961616"/>
    <w:rsid w:val="0099547C"/>
    <w:rsid w:val="009B3E24"/>
    <w:rsid w:val="009F19AB"/>
    <w:rsid w:val="00A25B2E"/>
    <w:rsid w:val="00A4086E"/>
    <w:rsid w:val="00A40906"/>
    <w:rsid w:val="00A566AE"/>
    <w:rsid w:val="00A60205"/>
    <w:rsid w:val="00A65CAD"/>
    <w:rsid w:val="00AB3648"/>
    <w:rsid w:val="00AE37B9"/>
    <w:rsid w:val="00AF2684"/>
    <w:rsid w:val="00B1283D"/>
    <w:rsid w:val="00B14238"/>
    <w:rsid w:val="00B15E2A"/>
    <w:rsid w:val="00B21553"/>
    <w:rsid w:val="00B23BE5"/>
    <w:rsid w:val="00B306E7"/>
    <w:rsid w:val="00B507DA"/>
    <w:rsid w:val="00B51B55"/>
    <w:rsid w:val="00B55C9A"/>
    <w:rsid w:val="00B8314C"/>
    <w:rsid w:val="00BC015E"/>
    <w:rsid w:val="00BF7B31"/>
    <w:rsid w:val="00C356A1"/>
    <w:rsid w:val="00C40337"/>
    <w:rsid w:val="00C50310"/>
    <w:rsid w:val="00D14728"/>
    <w:rsid w:val="00D82D90"/>
    <w:rsid w:val="00D8665E"/>
    <w:rsid w:val="00E3429A"/>
    <w:rsid w:val="00E5010D"/>
    <w:rsid w:val="00E61C3F"/>
    <w:rsid w:val="00E92BC4"/>
    <w:rsid w:val="00E961FF"/>
    <w:rsid w:val="00EA53FA"/>
    <w:rsid w:val="00ED7193"/>
    <w:rsid w:val="00F36EDC"/>
    <w:rsid w:val="00F46A6E"/>
    <w:rsid w:val="00F5137D"/>
    <w:rsid w:val="00FC4C1D"/>
    <w:rsid w:val="00FE315C"/>
    <w:rsid w:val="00FF4279"/>
    <w:rsid w:val="011A0EF9"/>
    <w:rsid w:val="01464A10"/>
    <w:rsid w:val="01B5263E"/>
    <w:rsid w:val="01E36A95"/>
    <w:rsid w:val="024952BB"/>
    <w:rsid w:val="02C32449"/>
    <w:rsid w:val="032B1ECE"/>
    <w:rsid w:val="035375F6"/>
    <w:rsid w:val="03846440"/>
    <w:rsid w:val="03AE3F27"/>
    <w:rsid w:val="04264743"/>
    <w:rsid w:val="048970F5"/>
    <w:rsid w:val="04936018"/>
    <w:rsid w:val="059E410E"/>
    <w:rsid w:val="05C72DBE"/>
    <w:rsid w:val="062F0FC4"/>
    <w:rsid w:val="07451C15"/>
    <w:rsid w:val="085025C7"/>
    <w:rsid w:val="08691048"/>
    <w:rsid w:val="095425B0"/>
    <w:rsid w:val="096245C5"/>
    <w:rsid w:val="0A853607"/>
    <w:rsid w:val="0AB9692B"/>
    <w:rsid w:val="0B5878F4"/>
    <w:rsid w:val="0BB50731"/>
    <w:rsid w:val="0C2B4B54"/>
    <w:rsid w:val="0C773B18"/>
    <w:rsid w:val="0C852213"/>
    <w:rsid w:val="0E3178BB"/>
    <w:rsid w:val="0E803508"/>
    <w:rsid w:val="0EA0135F"/>
    <w:rsid w:val="0EFF3D9B"/>
    <w:rsid w:val="0F194705"/>
    <w:rsid w:val="0F2039D2"/>
    <w:rsid w:val="0F2D7974"/>
    <w:rsid w:val="102D2054"/>
    <w:rsid w:val="10684A01"/>
    <w:rsid w:val="10717032"/>
    <w:rsid w:val="10730069"/>
    <w:rsid w:val="111477FC"/>
    <w:rsid w:val="116141A3"/>
    <w:rsid w:val="11AC0336"/>
    <w:rsid w:val="11AC2AB1"/>
    <w:rsid w:val="12592E59"/>
    <w:rsid w:val="12683C55"/>
    <w:rsid w:val="1282114C"/>
    <w:rsid w:val="12FC182F"/>
    <w:rsid w:val="147376A4"/>
    <w:rsid w:val="151D2D94"/>
    <w:rsid w:val="152A4557"/>
    <w:rsid w:val="153A18C3"/>
    <w:rsid w:val="15714880"/>
    <w:rsid w:val="15935D56"/>
    <w:rsid w:val="15FD1C7E"/>
    <w:rsid w:val="160451E9"/>
    <w:rsid w:val="168D16E7"/>
    <w:rsid w:val="16A532B9"/>
    <w:rsid w:val="17430F0A"/>
    <w:rsid w:val="17964384"/>
    <w:rsid w:val="179818A6"/>
    <w:rsid w:val="17ED4A4C"/>
    <w:rsid w:val="18425F53"/>
    <w:rsid w:val="185305FF"/>
    <w:rsid w:val="1865377C"/>
    <w:rsid w:val="18CA6D40"/>
    <w:rsid w:val="19033824"/>
    <w:rsid w:val="199754EE"/>
    <w:rsid w:val="1A180F0C"/>
    <w:rsid w:val="1A5A489C"/>
    <w:rsid w:val="1A5F2991"/>
    <w:rsid w:val="1A670D1B"/>
    <w:rsid w:val="1AD306CA"/>
    <w:rsid w:val="1B71754D"/>
    <w:rsid w:val="1C2A54E0"/>
    <w:rsid w:val="1C6014E7"/>
    <w:rsid w:val="1CFC596D"/>
    <w:rsid w:val="1DD1489C"/>
    <w:rsid w:val="1E5F504B"/>
    <w:rsid w:val="1EF80428"/>
    <w:rsid w:val="1F1F0880"/>
    <w:rsid w:val="205B7191"/>
    <w:rsid w:val="20CC47F8"/>
    <w:rsid w:val="20ED2DE5"/>
    <w:rsid w:val="21DC26A2"/>
    <w:rsid w:val="22391D54"/>
    <w:rsid w:val="225F5FA3"/>
    <w:rsid w:val="22D23D88"/>
    <w:rsid w:val="240B7710"/>
    <w:rsid w:val="24183D7B"/>
    <w:rsid w:val="24743287"/>
    <w:rsid w:val="248102E0"/>
    <w:rsid w:val="24FF0D36"/>
    <w:rsid w:val="263C2930"/>
    <w:rsid w:val="265A040A"/>
    <w:rsid w:val="2763493C"/>
    <w:rsid w:val="27C30C92"/>
    <w:rsid w:val="27E4741A"/>
    <w:rsid w:val="28505F8C"/>
    <w:rsid w:val="28A96AE0"/>
    <w:rsid w:val="29A47F48"/>
    <w:rsid w:val="29D70AFD"/>
    <w:rsid w:val="29E4341B"/>
    <w:rsid w:val="29EA712F"/>
    <w:rsid w:val="2A780AE7"/>
    <w:rsid w:val="2B23720F"/>
    <w:rsid w:val="2B3F3118"/>
    <w:rsid w:val="2B736350"/>
    <w:rsid w:val="2C2C16EB"/>
    <w:rsid w:val="2C733648"/>
    <w:rsid w:val="2CA26354"/>
    <w:rsid w:val="2DDF31AF"/>
    <w:rsid w:val="2E2B4DF5"/>
    <w:rsid w:val="2E9638F2"/>
    <w:rsid w:val="2EC81655"/>
    <w:rsid w:val="2F52749A"/>
    <w:rsid w:val="30030BCE"/>
    <w:rsid w:val="30506D72"/>
    <w:rsid w:val="306F436E"/>
    <w:rsid w:val="30857081"/>
    <w:rsid w:val="31450575"/>
    <w:rsid w:val="319A3E2D"/>
    <w:rsid w:val="32834FA8"/>
    <w:rsid w:val="33185788"/>
    <w:rsid w:val="34A15D9F"/>
    <w:rsid w:val="3527263A"/>
    <w:rsid w:val="358E7531"/>
    <w:rsid w:val="3613298E"/>
    <w:rsid w:val="371206B8"/>
    <w:rsid w:val="375E4D19"/>
    <w:rsid w:val="37B46A10"/>
    <w:rsid w:val="38014E66"/>
    <w:rsid w:val="38272A05"/>
    <w:rsid w:val="38ED260A"/>
    <w:rsid w:val="39312CAA"/>
    <w:rsid w:val="395B4DFA"/>
    <w:rsid w:val="399258DE"/>
    <w:rsid w:val="3ADE5DE5"/>
    <w:rsid w:val="3B0952B7"/>
    <w:rsid w:val="3B2B3991"/>
    <w:rsid w:val="3B500FE4"/>
    <w:rsid w:val="3BE301B5"/>
    <w:rsid w:val="3BE726D7"/>
    <w:rsid w:val="3C462BCF"/>
    <w:rsid w:val="3D8400AD"/>
    <w:rsid w:val="3DC74FDE"/>
    <w:rsid w:val="3E195CDD"/>
    <w:rsid w:val="3E4479DE"/>
    <w:rsid w:val="3E98006B"/>
    <w:rsid w:val="3EBC5B49"/>
    <w:rsid w:val="3EE245BA"/>
    <w:rsid w:val="3F4921CC"/>
    <w:rsid w:val="3F9F720B"/>
    <w:rsid w:val="3FD635C8"/>
    <w:rsid w:val="40F50E59"/>
    <w:rsid w:val="41332615"/>
    <w:rsid w:val="415E38A3"/>
    <w:rsid w:val="418B51BE"/>
    <w:rsid w:val="419A590D"/>
    <w:rsid w:val="421C071C"/>
    <w:rsid w:val="43DA4D88"/>
    <w:rsid w:val="43E5716A"/>
    <w:rsid w:val="443F1C03"/>
    <w:rsid w:val="446478A6"/>
    <w:rsid w:val="448B1218"/>
    <w:rsid w:val="44F26EF6"/>
    <w:rsid w:val="45B70606"/>
    <w:rsid w:val="462030C9"/>
    <w:rsid w:val="468E0D65"/>
    <w:rsid w:val="46A32A8C"/>
    <w:rsid w:val="470942FB"/>
    <w:rsid w:val="4722509A"/>
    <w:rsid w:val="47434487"/>
    <w:rsid w:val="47A34DC5"/>
    <w:rsid w:val="482A1C05"/>
    <w:rsid w:val="489C2AC5"/>
    <w:rsid w:val="490E6446"/>
    <w:rsid w:val="4A081D98"/>
    <w:rsid w:val="4A307CB4"/>
    <w:rsid w:val="4A415AEE"/>
    <w:rsid w:val="4AA07B88"/>
    <w:rsid w:val="4B74521B"/>
    <w:rsid w:val="4BBA4049"/>
    <w:rsid w:val="4C1E4B32"/>
    <w:rsid w:val="4C554FD0"/>
    <w:rsid w:val="4C8718AA"/>
    <w:rsid w:val="4C8A1D4B"/>
    <w:rsid w:val="4D46494F"/>
    <w:rsid w:val="4D5F6CD8"/>
    <w:rsid w:val="4D62084F"/>
    <w:rsid w:val="4DDD4305"/>
    <w:rsid w:val="4DFA49C1"/>
    <w:rsid w:val="4E371C59"/>
    <w:rsid w:val="4EAE32AA"/>
    <w:rsid w:val="4EB513D5"/>
    <w:rsid w:val="4EC72BA6"/>
    <w:rsid w:val="4F253631"/>
    <w:rsid w:val="4FC42568"/>
    <w:rsid w:val="500E2422"/>
    <w:rsid w:val="50253CEB"/>
    <w:rsid w:val="508728DF"/>
    <w:rsid w:val="51A372A7"/>
    <w:rsid w:val="52396943"/>
    <w:rsid w:val="5268026F"/>
    <w:rsid w:val="52936C28"/>
    <w:rsid w:val="531279C9"/>
    <w:rsid w:val="53424CEC"/>
    <w:rsid w:val="535E1D57"/>
    <w:rsid w:val="539E6BC1"/>
    <w:rsid w:val="541E757F"/>
    <w:rsid w:val="551412BC"/>
    <w:rsid w:val="557D571A"/>
    <w:rsid w:val="560B056D"/>
    <w:rsid w:val="569A640D"/>
    <w:rsid w:val="572C7116"/>
    <w:rsid w:val="57F628A3"/>
    <w:rsid w:val="580D29EC"/>
    <w:rsid w:val="589E326A"/>
    <w:rsid w:val="58D358EA"/>
    <w:rsid w:val="594E2219"/>
    <w:rsid w:val="5951533C"/>
    <w:rsid w:val="59663D20"/>
    <w:rsid w:val="598E0BFE"/>
    <w:rsid w:val="5993671C"/>
    <w:rsid w:val="5A29543C"/>
    <w:rsid w:val="5B406AC2"/>
    <w:rsid w:val="5C060CBC"/>
    <w:rsid w:val="5C64605F"/>
    <w:rsid w:val="5C6E27F5"/>
    <w:rsid w:val="5D300C56"/>
    <w:rsid w:val="5D35344C"/>
    <w:rsid w:val="5DAD5DB6"/>
    <w:rsid w:val="5DF470BD"/>
    <w:rsid w:val="5EB77ABF"/>
    <w:rsid w:val="5F097244"/>
    <w:rsid w:val="5F7818F7"/>
    <w:rsid w:val="602A11BA"/>
    <w:rsid w:val="62671B56"/>
    <w:rsid w:val="62867EBD"/>
    <w:rsid w:val="631779E2"/>
    <w:rsid w:val="636D5B53"/>
    <w:rsid w:val="65384FBB"/>
    <w:rsid w:val="65576858"/>
    <w:rsid w:val="657C7A98"/>
    <w:rsid w:val="65E74DCB"/>
    <w:rsid w:val="65F12414"/>
    <w:rsid w:val="667672D7"/>
    <w:rsid w:val="669D1102"/>
    <w:rsid w:val="66DB20B1"/>
    <w:rsid w:val="66FC1CB9"/>
    <w:rsid w:val="67B509C5"/>
    <w:rsid w:val="67C51A77"/>
    <w:rsid w:val="6830258C"/>
    <w:rsid w:val="68653A55"/>
    <w:rsid w:val="68B94C76"/>
    <w:rsid w:val="68CC77A6"/>
    <w:rsid w:val="68EB04F5"/>
    <w:rsid w:val="69125CE8"/>
    <w:rsid w:val="69625E8B"/>
    <w:rsid w:val="6C351935"/>
    <w:rsid w:val="6C604459"/>
    <w:rsid w:val="6C856A25"/>
    <w:rsid w:val="6CDC5B5D"/>
    <w:rsid w:val="6D535020"/>
    <w:rsid w:val="6D5C2A0F"/>
    <w:rsid w:val="6DB363ED"/>
    <w:rsid w:val="6DC2411F"/>
    <w:rsid w:val="6E0B4F09"/>
    <w:rsid w:val="6E345B5B"/>
    <w:rsid w:val="6EB27A8E"/>
    <w:rsid w:val="6EFF0D55"/>
    <w:rsid w:val="6F7B1844"/>
    <w:rsid w:val="72437EB9"/>
    <w:rsid w:val="727C6993"/>
    <w:rsid w:val="72FE11A2"/>
    <w:rsid w:val="737C5427"/>
    <w:rsid w:val="73C165DE"/>
    <w:rsid w:val="73F04BC3"/>
    <w:rsid w:val="74FC76A9"/>
    <w:rsid w:val="75783AA4"/>
    <w:rsid w:val="766F67DE"/>
    <w:rsid w:val="7721268B"/>
    <w:rsid w:val="77BC207E"/>
    <w:rsid w:val="796605B8"/>
    <w:rsid w:val="7A1571C1"/>
    <w:rsid w:val="7A2F642B"/>
    <w:rsid w:val="7A76180C"/>
    <w:rsid w:val="7ADC1846"/>
    <w:rsid w:val="7B681176"/>
    <w:rsid w:val="7B952D8F"/>
    <w:rsid w:val="7BA8352C"/>
    <w:rsid w:val="7BC0304B"/>
    <w:rsid w:val="7BDE2A48"/>
    <w:rsid w:val="7BF14CCE"/>
    <w:rsid w:val="7C263FA2"/>
    <w:rsid w:val="7C6D6287"/>
    <w:rsid w:val="7C75773C"/>
    <w:rsid w:val="7D0C11DC"/>
    <w:rsid w:val="7DF079DD"/>
    <w:rsid w:val="7E111230"/>
    <w:rsid w:val="7E1778F6"/>
    <w:rsid w:val="7EDA2EC0"/>
    <w:rsid w:val="7F8876CC"/>
    <w:rsid w:val="7FE532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footnote text" w:uiPriority="99" w:unhideWhenUsed="1" w:qFormat="1"/>
    <w:lsdException w:name="header" w:qFormat="1"/>
    <w:lsdException w:name="footer" w:qFormat="1"/>
    <w:lsdException w:name="caption" w:semiHidden="1" w:unhideWhenUsed="1" w:qFormat="1"/>
    <w:lsdException w:name="footnote reference" w:uiPriority="99"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684"/>
    <w:pPr>
      <w:widowControl w:val="0"/>
      <w:jc w:val="both"/>
    </w:pPr>
    <w:rPr>
      <w:kern w:val="2"/>
      <w:sz w:val="21"/>
      <w:szCs w:val="24"/>
    </w:rPr>
  </w:style>
  <w:style w:type="paragraph" w:styleId="1">
    <w:name w:val="heading 1"/>
    <w:basedOn w:val="a"/>
    <w:next w:val="a"/>
    <w:link w:val="1Char"/>
    <w:qFormat/>
    <w:rsid w:val="00AF2684"/>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qFormat/>
    <w:rsid w:val="00AF2684"/>
    <w:pPr>
      <w:tabs>
        <w:tab w:val="center" w:pos="4153"/>
        <w:tab w:val="right" w:pos="8306"/>
      </w:tabs>
      <w:snapToGrid w:val="0"/>
      <w:jc w:val="left"/>
    </w:pPr>
    <w:rPr>
      <w:sz w:val="18"/>
    </w:rPr>
  </w:style>
  <w:style w:type="paragraph" w:styleId="a4">
    <w:name w:val="header"/>
    <w:basedOn w:val="a"/>
    <w:link w:val="Char"/>
    <w:qFormat/>
    <w:rsid w:val="00AF2684"/>
    <w:pPr>
      <w:pBdr>
        <w:bottom w:val="single" w:sz="6" w:space="1" w:color="auto"/>
      </w:pBdr>
      <w:tabs>
        <w:tab w:val="center" w:pos="4153"/>
        <w:tab w:val="right" w:pos="8306"/>
      </w:tabs>
      <w:snapToGrid w:val="0"/>
      <w:jc w:val="center"/>
    </w:pPr>
    <w:rPr>
      <w:sz w:val="18"/>
      <w:szCs w:val="18"/>
    </w:rPr>
  </w:style>
  <w:style w:type="paragraph" w:styleId="a5">
    <w:name w:val="footnote text"/>
    <w:basedOn w:val="a"/>
    <w:link w:val="Char0"/>
    <w:uiPriority w:val="99"/>
    <w:unhideWhenUsed/>
    <w:qFormat/>
    <w:rsid w:val="00AF2684"/>
    <w:pPr>
      <w:snapToGrid w:val="0"/>
      <w:jc w:val="left"/>
    </w:pPr>
    <w:rPr>
      <w:rFonts w:ascii="Calibri" w:hAnsi="Calibri"/>
      <w:sz w:val="18"/>
    </w:rPr>
  </w:style>
  <w:style w:type="paragraph" w:styleId="2">
    <w:name w:val="toc 2"/>
    <w:basedOn w:val="a"/>
    <w:next w:val="a"/>
    <w:qFormat/>
    <w:rsid w:val="00AF2684"/>
    <w:pPr>
      <w:ind w:leftChars="200" w:left="420"/>
    </w:pPr>
    <w:rPr>
      <w:rFonts w:ascii="Calibri" w:hAnsi="Calibri"/>
      <w:szCs w:val="21"/>
    </w:rPr>
  </w:style>
  <w:style w:type="paragraph" w:styleId="a6">
    <w:name w:val="Normal (Web)"/>
    <w:basedOn w:val="a"/>
    <w:uiPriority w:val="99"/>
    <w:unhideWhenUsed/>
    <w:rsid w:val="00AF2684"/>
    <w:pPr>
      <w:widowControl/>
      <w:spacing w:before="100" w:beforeAutospacing="1" w:after="100" w:afterAutospacing="1"/>
      <w:jc w:val="left"/>
    </w:pPr>
    <w:rPr>
      <w:rFonts w:ascii="宋体" w:hAnsi="宋体" w:cs="宋体"/>
      <w:kern w:val="0"/>
      <w:sz w:val="24"/>
    </w:rPr>
  </w:style>
  <w:style w:type="character" w:styleId="a7">
    <w:name w:val="FollowedHyperlink"/>
    <w:basedOn w:val="a0"/>
    <w:qFormat/>
    <w:rsid w:val="00AF2684"/>
    <w:rPr>
      <w:color w:val="800080"/>
      <w:u w:val="single"/>
    </w:rPr>
  </w:style>
  <w:style w:type="character" w:styleId="a8">
    <w:name w:val="Hyperlink"/>
    <w:basedOn w:val="a0"/>
    <w:qFormat/>
    <w:rsid w:val="00AF2684"/>
    <w:rPr>
      <w:color w:val="0000FF"/>
      <w:u w:val="single"/>
    </w:rPr>
  </w:style>
  <w:style w:type="character" w:styleId="a9">
    <w:name w:val="footnote reference"/>
    <w:basedOn w:val="a0"/>
    <w:uiPriority w:val="99"/>
    <w:unhideWhenUsed/>
    <w:qFormat/>
    <w:rsid w:val="00AF2684"/>
    <w:rPr>
      <w:vertAlign w:val="superscript"/>
    </w:rPr>
  </w:style>
  <w:style w:type="paragraph" w:customStyle="1" w:styleId="msotocheading0">
    <w:name w:val="msotocheading"/>
    <w:basedOn w:val="1"/>
    <w:next w:val="a"/>
    <w:qFormat/>
    <w:rsid w:val="00AF2684"/>
    <w:pPr>
      <w:widowControl/>
      <w:spacing w:before="480" w:line="276" w:lineRule="auto"/>
      <w:jc w:val="left"/>
    </w:pPr>
    <w:rPr>
      <w:rFonts w:ascii="Cambria" w:hAnsi="Cambria"/>
      <w:color w:val="365F91"/>
      <w:kern w:val="0"/>
      <w:sz w:val="28"/>
      <w:szCs w:val="28"/>
    </w:rPr>
  </w:style>
  <w:style w:type="paragraph" w:customStyle="1" w:styleId="10">
    <w:name w:val="列出段落1"/>
    <w:basedOn w:val="a"/>
    <w:qFormat/>
    <w:rsid w:val="00AF2684"/>
    <w:pPr>
      <w:ind w:firstLineChars="200" w:firstLine="420"/>
    </w:pPr>
    <w:rPr>
      <w:rFonts w:ascii="Calibri" w:hAnsi="Calibri"/>
      <w:szCs w:val="21"/>
    </w:rPr>
  </w:style>
  <w:style w:type="character" w:customStyle="1" w:styleId="Char2">
    <w:name w:val="页脚 Char"/>
    <w:basedOn w:val="a0"/>
    <w:link w:val="a3"/>
    <w:qFormat/>
    <w:rsid w:val="00AF2684"/>
    <w:rPr>
      <w:rFonts w:ascii="Calibri" w:hAnsi="Calibri" w:cs="Calibri" w:hint="default"/>
      <w:sz w:val="18"/>
    </w:rPr>
  </w:style>
  <w:style w:type="character" w:customStyle="1" w:styleId="Char1">
    <w:name w:val="页脚 Char1"/>
    <w:basedOn w:val="a0"/>
    <w:link w:val="a3"/>
    <w:qFormat/>
    <w:rsid w:val="00AF2684"/>
    <w:rPr>
      <w:rFonts w:ascii="Calibri" w:hAnsi="Calibri" w:cs="Calibri" w:hint="default"/>
      <w:kern w:val="2"/>
      <w:sz w:val="18"/>
      <w:szCs w:val="18"/>
    </w:rPr>
  </w:style>
  <w:style w:type="character" w:customStyle="1" w:styleId="1Char">
    <w:name w:val="标题 1 Char"/>
    <w:basedOn w:val="a0"/>
    <w:link w:val="1"/>
    <w:qFormat/>
    <w:rsid w:val="00AF2684"/>
    <w:rPr>
      <w:rFonts w:ascii="Calibri" w:hAnsi="Calibri" w:cs="Calibri" w:hint="default"/>
      <w:b/>
      <w:kern w:val="44"/>
      <w:sz w:val="44"/>
      <w:szCs w:val="44"/>
    </w:rPr>
  </w:style>
  <w:style w:type="character" w:customStyle="1" w:styleId="font11">
    <w:name w:val="font11"/>
    <w:basedOn w:val="a0"/>
    <w:qFormat/>
    <w:rsid w:val="00AF2684"/>
    <w:rPr>
      <w:rFonts w:ascii="宋体" w:eastAsia="宋体" w:hAnsi="宋体" w:cs="宋体" w:hint="eastAsia"/>
      <w:color w:val="000000"/>
      <w:sz w:val="20"/>
      <w:szCs w:val="20"/>
      <w:u w:val="none"/>
    </w:rPr>
  </w:style>
  <w:style w:type="character" w:customStyle="1" w:styleId="font01">
    <w:name w:val="font01"/>
    <w:basedOn w:val="a0"/>
    <w:qFormat/>
    <w:rsid w:val="00AF2684"/>
    <w:rPr>
      <w:rFonts w:ascii="宋体" w:eastAsia="宋体" w:hAnsi="宋体" w:cs="宋体" w:hint="eastAsia"/>
      <w:color w:val="000000"/>
      <w:sz w:val="22"/>
      <w:szCs w:val="22"/>
      <w:u w:val="none"/>
    </w:rPr>
  </w:style>
  <w:style w:type="character" w:customStyle="1" w:styleId="font51">
    <w:name w:val="font51"/>
    <w:basedOn w:val="a0"/>
    <w:qFormat/>
    <w:rsid w:val="00AF2684"/>
    <w:rPr>
      <w:rFonts w:ascii="宋体" w:eastAsia="宋体" w:hAnsi="宋体" w:cs="宋体" w:hint="eastAsia"/>
      <w:color w:val="000000"/>
      <w:sz w:val="24"/>
      <w:szCs w:val="24"/>
      <w:u w:val="none"/>
    </w:rPr>
  </w:style>
  <w:style w:type="character" w:customStyle="1" w:styleId="font41">
    <w:name w:val="font41"/>
    <w:basedOn w:val="a0"/>
    <w:qFormat/>
    <w:rsid w:val="00AF2684"/>
    <w:rPr>
      <w:rFonts w:ascii="宋体" w:eastAsia="宋体" w:hAnsi="宋体" w:cs="宋体" w:hint="eastAsia"/>
      <w:color w:val="000000"/>
      <w:sz w:val="24"/>
      <w:szCs w:val="24"/>
      <w:u w:val="none"/>
    </w:rPr>
  </w:style>
  <w:style w:type="paragraph" w:customStyle="1" w:styleId="WPSOffice1">
    <w:name w:val="WPSOffice手动目录 1"/>
    <w:qFormat/>
    <w:rsid w:val="00AF2684"/>
  </w:style>
  <w:style w:type="paragraph" w:customStyle="1" w:styleId="WPSOffice2">
    <w:name w:val="WPSOffice手动目录 2"/>
    <w:qFormat/>
    <w:rsid w:val="00AF2684"/>
    <w:pPr>
      <w:ind w:leftChars="200" w:left="200"/>
    </w:pPr>
  </w:style>
  <w:style w:type="character" w:customStyle="1" w:styleId="Char">
    <w:name w:val="页眉 Char"/>
    <w:basedOn w:val="a0"/>
    <w:link w:val="a4"/>
    <w:qFormat/>
    <w:rsid w:val="00AF2684"/>
    <w:rPr>
      <w:kern w:val="2"/>
      <w:sz w:val="18"/>
      <w:szCs w:val="18"/>
    </w:rPr>
  </w:style>
  <w:style w:type="character" w:customStyle="1" w:styleId="Char0">
    <w:name w:val="脚注文本 Char"/>
    <w:basedOn w:val="a0"/>
    <w:link w:val="a5"/>
    <w:uiPriority w:val="99"/>
    <w:qFormat/>
    <w:rsid w:val="00AF2684"/>
    <w:rPr>
      <w:rFonts w:ascii="Calibri" w:hAnsi="Calibri"/>
      <w:kern w:val="2"/>
      <w:sz w:val="18"/>
      <w:szCs w:val="24"/>
    </w:rPr>
  </w:style>
  <w:style w:type="paragraph" w:customStyle="1" w:styleId="20">
    <w:name w:val="列出段落2"/>
    <w:basedOn w:val="a"/>
    <w:uiPriority w:val="99"/>
    <w:unhideWhenUsed/>
    <w:qFormat/>
    <w:rsid w:val="00AF268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51</TotalTime>
  <Pages>1</Pages>
  <Words>937</Words>
  <Characters>5346</Characters>
  <Application>Microsoft Office Word</Application>
  <DocSecurity>0</DocSecurity>
  <Lines>44</Lines>
  <Paragraphs>12</Paragraphs>
  <ScaleCrop>false</ScaleCrop>
  <Company>Sky123.Org</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张世平</dc:creator>
  <cp:lastModifiedBy>信阳市供销合作社</cp:lastModifiedBy>
  <cp:revision>83</cp:revision>
  <cp:lastPrinted>2019-08-30T00:32:00Z</cp:lastPrinted>
  <dcterms:created xsi:type="dcterms:W3CDTF">2019-07-17T00:21:00Z</dcterms:created>
  <dcterms:modified xsi:type="dcterms:W3CDTF">2020-11-04T02:13:00Z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